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5A10" w14:textId="10B71B4F" w:rsidR="001D79E1" w:rsidRPr="00CC446F" w:rsidRDefault="001D79E1">
      <w:pPr>
        <w:jc w:val="center"/>
        <w:outlineLvl w:val="0"/>
        <w:rPr>
          <w:b/>
          <w:sz w:val="24"/>
          <w:lang w:val="en-US"/>
        </w:rPr>
      </w:pPr>
      <w:r w:rsidRPr="00CC446F">
        <w:rPr>
          <w:b/>
          <w:sz w:val="24"/>
          <w:lang w:val="en-US"/>
        </w:rPr>
        <w:t>Factors affecting farmers’ WTP for innovative fertilizer against soil salinity</w:t>
      </w:r>
    </w:p>
    <w:p w14:paraId="5B9F6995" w14:textId="0C704F43" w:rsidR="00CC446F" w:rsidRPr="00CC446F" w:rsidRDefault="00CC446F" w:rsidP="00CC446F">
      <w:pPr>
        <w:jc w:val="center"/>
        <w:outlineLvl w:val="0"/>
        <w:rPr>
          <w:b/>
          <w:lang w:val="en-US"/>
        </w:rPr>
      </w:pPr>
      <w:r w:rsidRPr="00CC446F">
        <w:rPr>
          <w:b/>
          <w:lang w:val="en-US"/>
        </w:rPr>
        <w:t xml:space="preserve">by </w:t>
      </w:r>
    </w:p>
    <w:p w14:paraId="027850B7" w14:textId="3B1051F2" w:rsidR="001D79E1" w:rsidRPr="00CC446F" w:rsidRDefault="001D79E1" w:rsidP="00CC446F">
      <w:pPr>
        <w:jc w:val="center"/>
        <w:outlineLvl w:val="0"/>
        <w:rPr>
          <w:b/>
          <w:lang w:val="en-US"/>
        </w:rPr>
      </w:pPr>
      <w:r w:rsidRPr="00CC446F">
        <w:rPr>
          <w:b/>
          <w:lang w:val="en-US"/>
        </w:rPr>
        <w:t xml:space="preserve">Stavroula </w:t>
      </w:r>
      <w:proofErr w:type="spellStart"/>
      <w:r w:rsidRPr="00CC446F">
        <w:rPr>
          <w:b/>
          <w:lang w:val="en-US"/>
        </w:rPr>
        <w:t>Tsig</w:t>
      </w:r>
      <w:r w:rsidR="009D575C" w:rsidRPr="00CC446F">
        <w:rPr>
          <w:b/>
          <w:lang w:val="en-US"/>
        </w:rPr>
        <w:t>k</w:t>
      </w:r>
      <w:r w:rsidRPr="00CC446F">
        <w:rPr>
          <w:b/>
          <w:lang w:val="en-US"/>
        </w:rPr>
        <w:t>ou</w:t>
      </w:r>
      <w:proofErr w:type="spellEnd"/>
      <w:r w:rsidRPr="00CC446F">
        <w:rPr>
          <w:b/>
          <w:lang w:val="en-US"/>
        </w:rPr>
        <w:t xml:space="preserve"> and Stathis Klonaris</w:t>
      </w:r>
      <w:r w:rsidR="002F5883" w:rsidRPr="00CC446F">
        <w:rPr>
          <w:b/>
          <w:lang w:val="en-US"/>
        </w:rPr>
        <w:t xml:space="preserve"> </w:t>
      </w:r>
    </w:p>
    <w:p w14:paraId="07A9F592" w14:textId="1EA45A0A" w:rsidR="002F5883" w:rsidRPr="00CC446F" w:rsidRDefault="002F5883" w:rsidP="00CC446F">
      <w:pPr>
        <w:jc w:val="center"/>
        <w:outlineLvl w:val="0"/>
        <w:rPr>
          <w:b/>
          <w:lang w:val="en-US"/>
        </w:rPr>
      </w:pPr>
      <w:r w:rsidRPr="00CC446F">
        <w:rPr>
          <w:b/>
          <w:lang w:val="en-US"/>
        </w:rPr>
        <w:t xml:space="preserve"> Agricultural University of Athens, Dept</w:t>
      </w:r>
      <w:r w:rsidR="00CC446F" w:rsidRPr="00CC446F">
        <w:rPr>
          <w:b/>
          <w:lang w:val="en-US"/>
        </w:rPr>
        <w:t>.</w:t>
      </w:r>
      <w:r w:rsidRPr="00CC446F">
        <w:rPr>
          <w:b/>
          <w:lang w:val="en-US"/>
        </w:rPr>
        <w:t xml:space="preserve"> of agricultural Economics &amp; Rural Development</w:t>
      </w:r>
    </w:p>
    <w:p w14:paraId="6201C29F" w14:textId="77777777" w:rsidR="001D79E1" w:rsidRDefault="001D79E1" w:rsidP="00DC4DA9">
      <w:pPr>
        <w:jc w:val="both"/>
        <w:outlineLvl w:val="0"/>
        <w:rPr>
          <w:b/>
          <w:lang w:val="en-US"/>
        </w:rPr>
      </w:pPr>
    </w:p>
    <w:p w14:paraId="7CBFD60A" w14:textId="77777777" w:rsidR="009E0696" w:rsidRDefault="009E0696" w:rsidP="00DC4DA9">
      <w:pPr>
        <w:jc w:val="both"/>
        <w:outlineLvl w:val="0"/>
        <w:rPr>
          <w:b/>
          <w:lang w:val="en-US"/>
        </w:rPr>
      </w:pPr>
      <w:r>
        <w:rPr>
          <w:b/>
          <w:lang w:val="en-US"/>
        </w:rPr>
        <w:t>Abstract</w:t>
      </w:r>
    </w:p>
    <w:p w14:paraId="59438D1D" w14:textId="77777777" w:rsidR="009E0696" w:rsidRDefault="009E0696" w:rsidP="00322533">
      <w:pPr>
        <w:jc w:val="both"/>
        <w:rPr>
          <w:lang w:val="en-US"/>
        </w:rPr>
      </w:pPr>
      <w:r>
        <w:rPr>
          <w:lang w:val="en-US"/>
        </w:rPr>
        <w:t>Salt stress noxiously shocks agricultural yield all over the world affecting production either it is for subsistence or economic outcomes. However, the market for anti-salinity products is still developing and little is known about the willingness to pay for agricultural supplies, these have been largely focused on using stated preference methods only. This paper applied both Contingent and Inferred Valuation Method for the purpose of examining the determinants of farmers’ willingness to pay for two packages of an innovative</w:t>
      </w:r>
      <w:r w:rsidR="005A61B2">
        <w:rPr>
          <w:lang w:val="en-US"/>
        </w:rPr>
        <w:t xml:space="preserve"> anti-salinity fertilizer, which does not yet exist in the market, in the regions of southwest Greece. With the aid of questionnaire, primary data were obtained from 150 farmers. Willingness to pay for the two packages of liquid fertilizer was measured through dichotomous choice. For the econometric analysis, interval regression model was used. The results revealed that farmers’ willingness to pay for the specific anti-salinity product is influenced by a host of factors. </w:t>
      </w:r>
      <w:r w:rsidR="001A649F">
        <w:rPr>
          <w:lang w:val="en-US"/>
        </w:rPr>
        <w:t xml:space="preserve">Especially, </w:t>
      </w:r>
      <w:r w:rsidR="00E3029B">
        <w:rPr>
          <w:lang w:val="en-US"/>
        </w:rPr>
        <w:t xml:space="preserve">the regression showed that </w:t>
      </w:r>
      <w:r w:rsidR="00A246FF">
        <w:rPr>
          <w:lang w:val="en-US"/>
        </w:rPr>
        <w:t>the size of cultivated land, the level of education, the knowledge scale about salinity, the package of liquid fertilizer that farmers usually buy</w:t>
      </w:r>
      <w:r w:rsidR="005137F2">
        <w:rPr>
          <w:lang w:val="en-US"/>
        </w:rPr>
        <w:t xml:space="preserve"> and the consequentiality script have a positive effect on willingness to pay, whilst </w:t>
      </w:r>
      <w:r w:rsidR="00EB7B91">
        <w:rPr>
          <w:lang w:val="en-US"/>
        </w:rPr>
        <w:t>hypothetical bias</w:t>
      </w:r>
      <w:r w:rsidR="006B5C69">
        <w:rPr>
          <w:lang w:val="en-US"/>
        </w:rPr>
        <w:t xml:space="preserve"> and inferred valuation method</w:t>
      </w:r>
      <w:r w:rsidR="00EB7B91">
        <w:rPr>
          <w:lang w:val="en-US"/>
        </w:rPr>
        <w:t xml:space="preserve"> have a negative effect. Also, we examined a methodological issue concerning the order </w:t>
      </w:r>
      <w:r w:rsidR="00982AE8">
        <w:rPr>
          <w:lang w:val="en-US"/>
        </w:rPr>
        <w:t xml:space="preserve">that the package of fertilizer was appeared in </w:t>
      </w:r>
      <w:r w:rsidR="003B0A8A">
        <w:rPr>
          <w:lang w:val="en-US"/>
        </w:rPr>
        <w:t>the willingness to pay question which has a positive effect on willingness to pay.</w:t>
      </w:r>
      <w:r w:rsidR="006B5C69">
        <w:rPr>
          <w:lang w:val="en-US"/>
        </w:rPr>
        <w:t xml:space="preserve"> The implication is that taking these factors into account while large companies are looking for new and profitable products by investing for research and development enables companies’ managers to come up with projects that win acceptance from the farmers.</w:t>
      </w:r>
    </w:p>
    <w:p w14:paraId="5EF232EE" w14:textId="77777777" w:rsidR="00027407" w:rsidRPr="001A649F" w:rsidRDefault="00027407" w:rsidP="00027407">
      <w:pPr>
        <w:ind w:left="720"/>
        <w:jc w:val="both"/>
        <w:rPr>
          <w:lang w:val="en-US"/>
        </w:rPr>
      </w:pPr>
      <w:r w:rsidRPr="00027407">
        <w:rPr>
          <w:b/>
          <w:lang w:val="en-US"/>
        </w:rPr>
        <w:t>Keywords</w:t>
      </w:r>
      <w:r>
        <w:rPr>
          <w:lang w:val="en-US"/>
        </w:rPr>
        <w:t>: salinity; willingness to pay; contingent valuation; inferred valuation; dichotomous choice</w:t>
      </w:r>
    </w:p>
    <w:p w14:paraId="32A36C38" w14:textId="77777777" w:rsidR="00EE7350" w:rsidRDefault="008E03AB" w:rsidP="00DC4DA9">
      <w:pPr>
        <w:jc w:val="both"/>
        <w:outlineLvl w:val="0"/>
        <w:rPr>
          <w:b/>
          <w:lang w:val="en-US"/>
        </w:rPr>
      </w:pPr>
      <w:r>
        <w:rPr>
          <w:b/>
          <w:lang w:val="en-US"/>
        </w:rPr>
        <w:t xml:space="preserve">1. </w:t>
      </w:r>
      <w:r w:rsidR="00EE7350" w:rsidRPr="00EE7350">
        <w:rPr>
          <w:b/>
          <w:lang w:val="en-US"/>
        </w:rPr>
        <w:t>Introduction</w:t>
      </w:r>
    </w:p>
    <w:p w14:paraId="455A2CE8" w14:textId="77777777" w:rsidR="005D5747" w:rsidRDefault="00366580" w:rsidP="00322533">
      <w:pPr>
        <w:jc w:val="both"/>
        <w:rPr>
          <w:lang w:val="en-US"/>
        </w:rPr>
      </w:pPr>
      <w:r>
        <w:rPr>
          <w:lang w:val="en-US"/>
        </w:rPr>
        <w:t xml:space="preserve">Most of </w:t>
      </w:r>
      <w:r w:rsidR="00DA49BD">
        <w:rPr>
          <w:lang w:val="en-US"/>
        </w:rPr>
        <w:t xml:space="preserve">the </w:t>
      </w:r>
      <w:r>
        <w:rPr>
          <w:lang w:val="en-US"/>
        </w:rPr>
        <w:t xml:space="preserve">plants are exposed to a lot of stresses throughout their life cycle. </w:t>
      </w:r>
      <w:r w:rsidR="004F2906">
        <w:rPr>
          <w:lang w:val="en-US"/>
        </w:rPr>
        <w:t xml:space="preserve">Abiotic stresses, such as salinity, drought, chemical toxicity, </w:t>
      </w:r>
      <w:r w:rsidR="00EC5DB6">
        <w:rPr>
          <w:lang w:val="en-US"/>
        </w:rPr>
        <w:t xml:space="preserve">extreme </w:t>
      </w:r>
      <w:r w:rsidR="004F2906">
        <w:rPr>
          <w:lang w:val="en-US"/>
        </w:rPr>
        <w:t>temperatures and oxidative stress are major threats to agriculture</w:t>
      </w:r>
      <w:r w:rsidR="000872A7">
        <w:rPr>
          <w:lang w:val="en-US"/>
        </w:rPr>
        <w:t>, leading to the</w:t>
      </w:r>
      <w:r w:rsidR="00B01221">
        <w:rPr>
          <w:lang w:val="en-US"/>
        </w:rPr>
        <w:t xml:space="preserve"> downgrading of the environment. Salinity is a</w:t>
      </w:r>
      <w:r w:rsidR="00101FCF">
        <w:rPr>
          <w:lang w:val="en-US"/>
        </w:rPr>
        <w:t xml:space="preserve"> serious restriction</w:t>
      </w:r>
      <w:r w:rsidR="001F751C">
        <w:rPr>
          <w:lang w:val="en-US"/>
        </w:rPr>
        <w:t xml:space="preserve"> on agriculture and like</w:t>
      </w:r>
      <w:r w:rsidR="00101FCF">
        <w:rPr>
          <w:lang w:val="en-US"/>
        </w:rPr>
        <w:t>ly to increase its</w:t>
      </w:r>
      <w:r w:rsidR="001F751C">
        <w:rPr>
          <w:lang w:val="en-US"/>
        </w:rPr>
        <w:t xml:space="preserve"> consequences</w:t>
      </w:r>
      <w:r w:rsidR="00CF7BE0">
        <w:rPr>
          <w:lang w:val="en-US"/>
        </w:rPr>
        <w:t xml:space="preserve"> in the future</w:t>
      </w:r>
      <w:r w:rsidR="00E42D8A">
        <w:rPr>
          <w:lang w:val="en-US"/>
        </w:rPr>
        <w:t xml:space="preserve">. Over the next decades </w:t>
      </w:r>
      <w:r w:rsidR="006110D0">
        <w:rPr>
          <w:lang w:val="en-US"/>
        </w:rPr>
        <w:t>continued population gro</w:t>
      </w:r>
      <w:r w:rsidR="001025B3">
        <w:rPr>
          <w:lang w:val="en-US"/>
        </w:rPr>
        <w:t>wth and rising living standards</w:t>
      </w:r>
      <w:r w:rsidR="006110D0">
        <w:rPr>
          <w:lang w:val="en-US"/>
        </w:rPr>
        <w:t xml:space="preserve"> likely to demand </w:t>
      </w:r>
      <w:r w:rsidR="00F24B74">
        <w:rPr>
          <w:lang w:val="en-US"/>
        </w:rPr>
        <w:t>an in</w:t>
      </w:r>
      <w:r w:rsidR="00495A31">
        <w:rPr>
          <w:lang w:val="en-US"/>
        </w:rPr>
        <w:t xml:space="preserve">crease in agricultural products. </w:t>
      </w:r>
      <w:r w:rsidR="00BB5910">
        <w:rPr>
          <w:lang w:val="en-US"/>
        </w:rPr>
        <w:t>Food and Agriculture Organization of the United Nations (</w:t>
      </w:r>
      <w:r w:rsidR="003C457E">
        <w:rPr>
          <w:lang w:val="en-US"/>
        </w:rPr>
        <w:t>FAO</w:t>
      </w:r>
      <w:r w:rsidR="00BB5910">
        <w:rPr>
          <w:lang w:val="en-US"/>
        </w:rPr>
        <w:t>)</w:t>
      </w:r>
      <w:r w:rsidR="003C457E">
        <w:rPr>
          <w:lang w:val="en-US"/>
        </w:rPr>
        <w:t xml:space="preserve"> estimates that there will be an additional 2 bill</w:t>
      </w:r>
      <w:r w:rsidR="00A6143E">
        <w:rPr>
          <w:lang w:val="en-US"/>
        </w:rPr>
        <w:t>ion people by 2050 (</w:t>
      </w:r>
      <w:r w:rsidR="00A6143E" w:rsidRPr="00CF62A8">
        <w:rPr>
          <w:lang w:val="en-US"/>
        </w:rPr>
        <w:t>FAO, 2013</w:t>
      </w:r>
      <w:r w:rsidR="00A6143E">
        <w:rPr>
          <w:lang w:val="en-US"/>
        </w:rPr>
        <w:t xml:space="preserve">). </w:t>
      </w:r>
      <w:r w:rsidR="00A6143E" w:rsidRPr="00A6143E">
        <w:rPr>
          <w:lang w:val="en-US"/>
        </w:rPr>
        <w:t>Salinity is among one of the most challenging environmental constrains to crop productivity worldwide.</w:t>
      </w:r>
      <w:r w:rsidR="00880C41">
        <w:rPr>
          <w:lang w:val="en-US"/>
        </w:rPr>
        <w:t xml:space="preserve"> Salt stress has a serious impact on agricultural yield </w:t>
      </w:r>
      <w:r w:rsidR="00D934D7">
        <w:rPr>
          <w:lang w:val="en-US"/>
        </w:rPr>
        <w:t xml:space="preserve">all over the world affecting production whether it is for subsistence or economic outcomes. </w:t>
      </w:r>
      <w:r w:rsidR="002B26C4">
        <w:rPr>
          <w:lang w:val="en-US"/>
        </w:rPr>
        <w:t>Huge terrains all over the world are shut down each yea</w:t>
      </w:r>
      <w:r w:rsidR="007376DD">
        <w:rPr>
          <w:lang w:val="en-US"/>
        </w:rPr>
        <w:t xml:space="preserve">r due to their extensive </w:t>
      </w:r>
      <w:r w:rsidR="00356089">
        <w:rPr>
          <w:lang w:val="en-US"/>
        </w:rPr>
        <w:t>salinization</w:t>
      </w:r>
      <w:r w:rsidR="002B26C4" w:rsidRPr="002B26C4">
        <w:rPr>
          <w:lang w:val="en-US"/>
        </w:rPr>
        <w:t xml:space="preserve">, </w:t>
      </w:r>
      <w:r w:rsidR="002B26C4">
        <w:rPr>
          <w:lang w:val="en-US"/>
        </w:rPr>
        <w:t>resulting in a decrease in their productivity.</w:t>
      </w:r>
      <w:r w:rsidR="00536E40">
        <w:rPr>
          <w:lang w:val="en-US"/>
        </w:rPr>
        <w:t xml:space="preserve"> </w:t>
      </w:r>
      <w:r w:rsidR="00D359A3">
        <w:rPr>
          <w:lang w:val="en-US"/>
        </w:rPr>
        <w:t xml:space="preserve">Almost, 7% and 20% of the world’s land area and cultivated land </w:t>
      </w:r>
      <w:r w:rsidR="00F2687F">
        <w:rPr>
          <w:lang w:val="en-US"/>
        </w:rPr>
        <w:t>respectively</w:t>
      </w:r>
      <w:r w:rsidR="00A83E08">
        <w:rPr>
          <w:lang w:val="en-US"/>
        </w:rPr>
        <w:t>,</w:t>
      </w:r>
      <w:r w:rsidR="00F2687F">
        <w:rPr>
          <w:lang w:val="en-US"/>
        </w:rPr>
        <w:t xml:space="preserve"> and nearly half of the irrigated land is adversely affected by high salt contents</w:t>
      </w:r>
      <w:r w:rsidR="00D359A3">
        <w:rPr>
          <w:lang w:val="en-US"/>
        </w:rPr>
        <w:t xml:space="preserve"> </w:t>
      </w:r>
      <w:r w:rsidR="00F2687F">
        <w:rPr>
          <w:lang w:val="en-US"/>
        </w:rPr>
        <w:t>(</w:t>
      </w:r>
      <w:r w:rsidR="00F2687F" w:rsidRPr="00CF62A8">
        <w:rPr>
          <w:lang w:val="en-US"/>
        </w:rPr>
        <w:t>Zhu, 2001</w:t>
      </w:r>
      <w:r w:rsidR="00F2687F">
        <w:rPr>
          <w:lang w:val="en-US"/>
        </w:rPr>
        <w:t xml:space="preserve">). In view of another projection, </w:t>
      </w:r>
      <w:r w:rsidR="00AB67D8" w:rsidRPr="00AB67D8">
        <w:rPr>
          <w:lang w:val="en-US"/>
        </w:rPr>
        <w:t xml:space="preserve">2% </w:t>
      </w:r>
      <w:r w:rsidR="00AB67D8">
        <w:rPr>
          <w:lang w:val="en-US"/>
        </w:rPr>
        <w:t xml:space="preserve">of non-irrigated cultivated soils (320 million </w:t>
      </w:r>
      <w:r w:rsidR="00AB67D8">
        <w:rPr>
          <w:lang w:val="en-US"/>
        </w:rPr>
        <w:lastRenderedPageBreak/>
        <w:t>acres</w:t>
      </w:r>
      <w:r w:rsidR="00BC0BE6">
        <w:rPr>
          <w:rStyle w:val="FootnoteReference"/>
          <w:lang w:val="en-US"/>
        </w:rPr>
        <w:footnoteReference w:id="1"/>
      </w:r>
      <w:r w:rsidR="00AB67D8">
        <w:rPr>
          <w:lang w:val="en-US"/>
        </w:rPr>
        <w:t xml:space="preserve"> out of a total of 15000 million acres) and 20% of irrigated</w:t>
      </w:r>
      <w:r w:rsidR="003B3721">
        <w:rPr>
          <w:lang w:val="en-US"/>
        </w:rPr>
        <w:t xml:space="preserve"> lands</w:t>
      </w:r>
      <w:r w:rsidR="0016388E">
        <w:rPr>
          <w:lang w:val="en-US"/>
        </w:rPr>
        <w:t xml:space="preserve"> </w:t>
      </w:r>
      <w:r w:rsidR="00AB67D8">
        <w:rPr>
          <w:lang w:val="en-US"/>
        </w:rPr>
        <w:t xml:space="preserve">(450 million acres out of a total of 2300 million </w:t>
      </w:r>
      <w:r w:rsidR="0027782A">
        <w:rPr>
          <w:lang w:val="en-US"/>
        </w:rPr>
        <w:t xml:space="preserve">acres) are </w:t>
      </w:r>
      <w:r w:rsidR="000A4FDE">
        <w:rPr>
          <w:lang w:val="en-US"/>
        </w:rPr>
        <w:t xml:space="preserve">affected by </w:t>
      </w:r>
      <w:r w:rsidR="00FB7C98">
        <w:rPr>
          <w:lang w:val="en-US"/>
        </w:rPr>
        <w:t>secondary</w:t>
      </w:r>
      <w:r w:rsidR="0027782A">
        <w:rPr>
          <w:rStyle w:val="FootnoteReference"/>
          <w:lang w:val="en-US"/>
        </w:rPr>
        <w:footnoteReference w:id="2"/>
      </w:r>
      <w:r w:rsidR="000A4FDE">
        <w:rPr>
          <w:lang w:val="en-US"/>
        </w:rPr>
        <w:t>salinity</w:t>
      </w:r>
      <w:r w:rsidR="0016388E">
        <w:rPr>
          <w:lang w:val="en-US"/>
        </w:rPr>
        <w:t xml:space="preserve"> </w:t>
      </w:r>
      <w:r w:rsidR="0027782A">
        <w:rPr>
          <w:lang w:val="en-US"/>
        </w:rPr>
        <w:t>(</w:t>
      </w:r>
      <w:r w:rsidR="0027782A" w:rsidRPr="00CF62A8">
        <w:rPr>
          <w:lang w:val="en-US"/>
        </w:rPr>
        <w:t>FAO</w:t>
      </w:r>
      <w:r w:rsidR="00A83E08" w:rsidRPr="00CF62A8">
        <w:rPr>
          <w:lang w:val="en-US"/>
        </w:rPr>
        <w:t>, 2005</w:t>
      </w:r>
      <w:r w:rsidR="0027782A">
        <w:rPr>
          <w:lang w:val="en-US"/>
        </w:rPr>
        <w:t>).</w:t>
      </w:r>
      <w:r w:rsidR="00AB67D8">
        <w:rPr>
          <w:lang w:val="en-US"/>
        </w:rPr>
        <w:t xml:space="preserve"> </w:t>
      </w:r>
      <w:r w:rsidR="00B9465C">
        <w:rPr>
          <w:lang w:val="en-US"/>
        </w:rPr>
        <w:t xml:space="preserve">Agricultural losses caused by salinity are difficult to </w:t>
      </w:r>
      <w:r w:rsidR="00A8217F">
        <w:rPr>
          <w:lang w:val="en-US"/>
        </w:rPr>
        <w:t xml:space="preserve">estimate but </w:t>
      </w:r>
      <w:r w:rsidR="00AA26C5">
        <w:rPr>
          <w:lang w:val="en-US"/>
        </w:rPr>
        <w:t>supposed to</w:t>
      </w:r>
      <w:r w:rsidR="008E43E8">
        <w:rPr>
          <w:lang w:val="en-US"/>
        </w:rPr>
        <w:t xml:space="preserve"> be </w:t>
      </w:r>
      <w:r w:rsidR="006D4058">
        <w:rPr>
          <w:lang w:val="en-US"/>
        </w:rPr>
        <w:t>significant and expected to</w:t>
      </w:r>
      <w:r w:rsidR="00AA26C5">
        <w:rPr>
          <w:lang w:val="en-US"/>
        </w:rPr>
        <w:t xml:space="preserve"> increase with time. </w:t>
      </w:r>
      <w:r w:rsidR="009979DB">
        <w:rPr>
          <w:lang w:val="en-US"/>
        </w:rPr>
        <w:t>More than 12 bi</w:t>
      </w:r>
      <w:r w:rsidR="00044935">
        <w:rPr>
          <w:lang w:val="en-US"/>
        </w:rPr>
        <w:t>llion</w:t>
      </w:r>
      <w:r w:rsidR="009979DB">
        <w:rPr>
          <w:lang w:val="en-US"/>
        </w:rPr>
        <w:t xml:space="preserve"> </w:t>
      </w:r>
      <w:r w:rsidR="00044935">
        <w:rPr>
          <w:lang w:val="en-US"/>
        </w:rPr>
        <w:t>US $ per year losses in agricultural production systems are estimated</w:t>
      </w:r>
      <w:r w:rsidR="00044935" w:rsidRPr="00044935">
        <w:rPr>
          <w:lang w:val="en-US"/>
        </w:rPr>
        <w:t xml:space="preserve"> </w:t>
      </w:r>
      <w:r w:rsidR="00044935">
        <w:rPr>
          <w:lang w:val="en-US"/>
        </w:rPr>
        <w:t xml:space="preserve">and the cost is expected to increase </w:t>
      </w:r>
      <w:r w:rsidR="00574581">
        <w:rPr>
          <w:lang w:val="en-US"/>
        </w:rPr>
        <w:t xml:space="preserve">as soils are </w:t>
      </w:r>
      <w:r w:rsidR="0052093F">
        <w:rPr>
          <w:lang w:val="en-US"/>
        </w:rPr>
        <w:t xml:space="preserve">further affected </w:t>
      </w:r>
      <w:r w:rsidR="00574581">
        <w:rPr>
          <w:lang w:val="en-US"/>
        </w:rPr>
        <w:t>(</w:t>
      </w:r>
      <w:proofErr w:type="spellStart"/>
      <w:r w:rsidR="00574581" w:rsidRPr="00CF62A8">
        <w:rPr>
          <w:lang w:val="en-US"/>
        </w:rPr>
        <w:t>Ghassemi</w:t>
      </w:r>
      <w:proofErr w:type="spellEnd"/>
      <w:r w:rsidR="00574581" w:rsidRPr="00CF62A8">
        <w:rPr>
          <w:lang w:val="en-US"/>
        </w:rPr>
        <w:t xml:space="preserve"> et al., 1995</w:t>
      </w:r>
      <w:r w:rsidR="00574581">
        <w:rPr>
          <w:lang w:val="en-US"/>
        </w:rPr>
        <w:t xml:space="preserve">). </w:t>
      </w:r>
    </w:p>
    <w:p w14:paraId="237196AD" w14:textId="77777777" w:rsidR="008D5BF3" w:rsidRDefault="00837C5A" w:rsidP="00322533">
      <w:pPr>
        <w:jc w:val="both"/>
        <w:rPr>
          <w:lang w:val="en-US"/>
        </w:rPr>
      </w:pPr>
      <w:r>
        <w:rPr>
          <w:lang w:val="en-US"/>
        </w:rPr>
        <w:t xml:space="preserve">In the preface to the ‘Special Issue: Plants and Salinity’, </w:t>
      </w:r>
      <w:r w:rsidRPr="00CF62A8">
        <w:rPr>
          <w:lang w:val="en-US"/>
        </w:rPr>
        <w:t>Tim Flowers (2006)</w:t>
      </w:r>
      <w:r w:rsidRPr="00837C5A">
        <w:rPr>
          <w:lang w:val="en-US"/>
        </w:rPr>
        <w:t xml:space="preserve"> </w:t>
      </w:r>
      <w:r>
        <w:rPr>
          <w:lang w:val="en-US"/>
        </w:rPr>
        <w:t>pointed out that ‘</w:t>
      </w:r>
      <w:r w:rsidRPr="00D33D9D">
        <w:rPr>
          <w:i/>
          <w:lang w:val="en-US"/>
        </w:rPr>
        <w:t xml:space="preserve">’Salinity has been a threat to agriculture in some parts of the world for over 3000 years; </w:t>
      </w:r>
      <w:r w:rsidR="00E24203" w:rsidRPr="00D33D9D">
        <w:rPr>
          <w:i/>
          <w:lang w:val="en-US"/>
        </w:rPr>
        <w:t>in recent times, the threat has grown</w:t>
      </w:r>
      <w:r w:rsidR="00E24203">
        <w:rPr>
          <w:lang w:val="en-US"/>
        </w:rPr>
        <w:t>’’.</w:t>
      </w:r>
      <w:r w:rsidR="008C1D16" w:rsidRPr="008C1D16">
        <w:rPr>
          <w:lang w:val="en-US"/>
        </w:rPr>
        <w:t xml:space="preserve"> </w:t>
      </w:r>
      <w:r w:rsidR="008C1D16">
        <w:rPr>
          <w:lang w:val="en-US"/>
        </w:rPr>
        <w:t xml:space="preserve">According to historical facts, between 4000 and 2000 BC the Sumerian people ruined their land </w:t>
      </w:r>
      <w:r w:rsidR="006D112A">
        <w:rPr>
          <w:lang w:val="en-US"/>
        </w:rPr>
        <w:t xml:space="preserve">and consequently their culture in the valleys of </w:t>
      </w:r>
      <w:r w:rsidR="0036134F">
        <w:rPr>
          <w:lang w:val="en-US"/>
        </w:rPr>
        <w:t xml:space="preserve">Tigris and Euphrates in Mesopotamia by their irrigation practices, </w:t>
      </w:r>
      <w:r w:rsidR="00D748E3">
        <w:rPr>
          <w:lang w:val="en-US"/>
        </w:rPr>
        <w:t xml:space="preserve">which caused secondary salinization and first </w:t>
      </w:r>
      <w:r w:rsidR="00066FF5">
        <w:rPr>
          <w:lang w:val="en-US"/>
        </w:rPr>
        <w:t>eradicated the production of wheat</w:t>
      </w:r>
      <w:r w:rsidR="005A6328">
        <w:rPr>
          <w:lang w:val="en-US"/>
        </w:rPr>
        <w:t xml:space="preserve"> and subsequently barley which is one of the most salt-tolerant species. </w:t>
      </w:r>
      <w:r w:rsidR="001D0795">
        <w:rPr>
          <w:lang w:val="en-US"/>
        </w:rPr>
        <w:t>This led to the dissolution of the civilizations of Mesopotamia and the rise of Babylon (</w:t>
      </w:r>
      <w:r w:rsidR="001D0795" w:rsidRPr="00CF62A8">
        <w:rPr>
          <w:lang w:val="en-US"/>
        </w:rPr>
        <w:t>Potts, 1997</w:t>
      </w:r>
      <w:r w:rsidR="001D0795">
        <w:rPr>
          <w:lang w:val="en-US"/>
        </w:rPr>
        <w:t>).</w:t>
      </w:r>
      <w:r w:rsidR="00516A6D">
        <w:rPr>
          <w:lang w:val="en-US"/>
        </w:rPr>
        <w:t xml:space="preserve"> </w:t>
      </w:r>
      <w:r w:rsidR="00E00923">
        <w:rPr>
          <w:lang w:val="en-US"/>
        </w:rPr>
        <w:t>However, the salinity problem is considerable and continuing to grow.</w:t>
      </w:r>
      <w:r w:rsidR="0094042E">
        <w:rPr>
          <w:lang w:val="en-US"/>
        </w:rPr>
        <w:t xml:space="preserve"> It is estimated that there are 76 </w:t>
      </w:r>
      <w:r w:rsidR="009A65B7">
        <w:rPr>
          <w:lang w:val="en-US"/>
        </w:rPr>
        <w:t>million hectares (</w:t>
      </w:r>
      <w:proofErr w:type="spellStart"/>
      <w:r w:rsidR="009A65B7">
        <w:rPr>
          <w:lang w:val="en-US"/>
        </w:rPr>
        <w:t>Mha</w:t>
      </w:r>
      <w:proofErr w:type="spellEnd"/>
      <w:r w:rsidR="009A65B7">
        <w:rPr>
          <w:lang w:val="en-US"/>
        </w:rPr>
        <w:t>) of human-</w:t>
      </w:r>
      <w:r w:rsidR="0094042E">
        <w:rPr>
          <w:lang w:val="en-US"/>
        </w:rPr>
        <w:t>induced salt affected land, representing 5% of the world’s cultivated land (</w:t>
      </w:r>
      <w:proofErr w:type="spellStart"/>
      <w:r w:rsidR="0094042E" w:rsidRPr="00CF62A8">
        <w:rPr>
          <w:lang w:val="en-US"/>
        </w:rPr>
        <w:t>Ghassemi</w:t>
      </w:r>
      <w:proofErr w:type="spellEnd"/>
      <w:r w:rsidR="0094042E" w:rsidRPr="00CF62A8">
        <w:rPr>
          <w:lang w:val="en-US"/>
        </w:rPr>
        <w:t xml:space="preserve"> et al., 1995</w:t>
      </w:r>
      <w:r w:rsidR="0094042E">
        <w:rPr>
          <w:lang w:val="en-US"/>
        </w:rPr>
        <w:t>).</w:t>
      </w:r>
      <w:r w:rsidR="00D350BB">
        <w:rPr>
          <w:lang w:val="en-US"/>
        </w:rPr>
        <w:t xml:space="preserve"> </w:t>
      </w:r>
      <w:r w:rsidR="00D350BB" w:rsidRPr="00D350BB">
        <w:rPr>
          <w:lang w:val="en-US"/>
        </w:rPr>
        <w:t xml:space="preserve">Anthropogenic sources of soil salinization are the presence of salts in irrigation waters, residual salts from soil and water modifications, applied effluents and chemical fertilizers. </w:t>
      </w:r>
      <w:r w:rsidR="00E24F1F">
        <w:rPr>
          <w:lang w:val="en-US"/>
        </w:rPr>
        <w:t>The</w:t>
      </w:r>
      <w:r w:rsidR="00360085">
        <w:rPr>
          <w:lang w:val="en-US"/>
        </w:rPr>
        <w:t xml:space="preserve"> term</w:t>
      </w:r>
      <w:r w:rsidR="00B75334">
        <w:rPr>
          <w:lang w:val="en-US"/>
        </w:rPr>
        <w:t xml:space="preserve"> </w:t>
      </w:r>
      <w:r w:rsidR="00422122">
        <w:rPr>
          <w:lang w:val="en-US"/>
        </w:rPr>
        <w:t>‘’</w:t>
      </w:r>
      <w:r w:rsidR="00E24F1F">
        <w:rPr>
          <w:lang w:val="en-US"/>
        </w:rPr>
        <w:t>salinity</w:t>
      </w:r>
      <w:r w:rsidR="00422122">
        <w:rPr>
          <w:lang w:val="en-US"/>
        </w:rPr>
        <w:t>’’</w:t>
      </w:r>
      <w:r w:rsidR="00E24F1F">
        <w:rPr>
          <w:lang w:val="en-US"/>
        </w:rPr>
        <w:t xml:space="preserve"> </w:t>
      </w:r>
      <w:r w:rsidR="00B75334">
        <w:rPr>
          <w:lang w:val="en-US"/>
        </w:rPr>
        <w:t>refers to the</w:t>
      </w:r>
      <w:r w:rsidR="00360085">
        <w:rPr>
          <w:lang w:val="en-US"/>
        </w:rPr>
        <w:t xml:space="preserve"> presence</w:t>
      </w:r>
      <w:r w:rsidR="00E24F1F">
        <w:rPr>
          <w:lang w:val="en-US"/>
        </w:rPr>
        <w:t xml:space="preserve"> in </w:t>
      </w:r>
      <w:r w:rsidR="00360085">
        <w:rPr>
          <w:lang w:val="en-US"/>
        </w:rPr>
        <w:t>soil (soil solution or technical solution)</w:t>
      </w:r>
      <w:r w:rsidR="00E24F1F">
        <w:rPr>
          <w:lang w:val="en-US"/>
        </w:rPr>
        <w:t xml:space="preserve"> and water of dissolved salts</w:t>
      </w:r>
      <w:r w:rsidR="00E24F1F" w:rsidRPr="00E24F1F">
        <w:rPr>
          <w:lang w:val="en-US"/>
        </w:rPr>
        <w:t xml:space="preserve"> </w:t>
      </w:r>
      <w:r w:rsidR="00E24F1F">
        <w:rPr>
          <w:lang w:val="en-US"/>
        </w:rPr>
        <w:t xml:space="preserve">in </w:t>
      </w:r>
      <w:r w:rsidR="00E24F1F" w:rsidRPr="00E24F1F">
        <w:rPr>
          <w:lang w:val="en-US"/>
        </w:rPr>
        <w:t>high concentrations</w:t>
      </w:r>
      <w:r w:rsidR="00E24F1F">
        <w:rPr>
          <w:lang w:val="en-US"/>
        </w:rPr>
        <w:t xml:space="preserve"> that are detrimental to the soil.</w:t>
      </w:r>
      <w:r w:rsidR="00337B54">
        <w:rPr>
          <w:lang w:val="en-US"/>
        </w:rPr>
        <w:t xml:space="preserve"> </w:t>
      </w:r>
      <w:r w:rsidR="00613D99">
        <w:rPr>
          <w:lang w:val="en-US"/>
        </w:rPr>
        <w:t xml:space="preserve">The composition of salts in large amounts mostly are calcium, sodium, magnesium, chloride and sulphate ions and in relatively small amounts are </w:t>
      </w:r>
      <w:r w:rsidR="00A6143E">
        <w:rPr>
          <w:lang w:val="en-US"/>
        </w:rPr>
        <w:t>potassium, carbonates, bicarbonates, borate and lithium salts (</w:t>
      </w:r>
      <w:r w:rsidR="00A6143E" w:rsidRPr="00CF62A8">
        <w:rPr>
          <w:lang w:val="en-US"/>
        </w:rPr>
        <w:t>Zhu, 2001</w:t>
      </w:r>
      <w:r w:rsidR="00A6143E">
        <w:rPr>
          <w:lang w:val="en-US"/>
        </w:rPr>
        <w:t>).</w:t>
      </w:r>
      <w:r w:rsidR="001770A1">
        <w:rPr>
          <w:lang w:val="en-US"/>
        </w:rPr>
        <w:t xml:space="preserve"> </w:t>
      </w:r>
      <w:r w:rsidR="00CD71B8">
        <w:rPr>
          <w:lang w:val="en-US"/>
        </w:rPr>
        <w:t>Approximately 17</w:t>
      </w:r>
      <w:r w:rsidR="00CE6E9C">
        <w:rPr>
          <w:lang w:val="en-US"/>
        </w:rPr>
        <w:t>% of</w:t>
      </w:r>
      <w:r w:rsidR="00511785">
        <w:rPr>
          <w:lang w:val="en-US"/>
        </w:rPr>
        <w:t xml:space="preserve"> the world’s cropland is under irrigation, but irrigated agriculture </w:t>
      </w:r>
      <w:r w:rsidR="00CE6E9C">
        <w:rPr>
          <w:lang w:val="en-US"/>
        </w:rPr>
        <w:t>contributes</w:t>
      </w:r>
      <w:r w:rsidR="00671C5E">
        <w:rPr>
          <w:lang w:val="en-US"/>
        </w:rPr>
        <w:t xml:space="preserve"> much more than 30% of the total agricultural production (</w:t>
      </w:r>
      <w:r w:rsidR="00671C5E" w:rsidRPr="00CF62A8">
        <w:rPr>
          <w:lang w:val="en-US"/>
        </w:rPr>
        <w:t>Hillel, 2000</w:t>
      </w:r>
      <w:r w:rsidR="00671C5E">
        <w:rPr>
          <w:lang w:val="en-US"/>
        </w:rPr>
        <w:t>).</w:t>
      </w:r>
      <w:r w:rsidR="00671C5E" w:rsidRPr="00671C5E">
        <w:rPr>
          <w:lang w:val="en-US"/>
        </w:rPr>
        <w:t xml:space="preserve"> </w:t>
      </w:r>
      <w:r w:rsidR="00671C5E">
        <w:rPr>
          <w:lang w:val="en-US"/>
        </w:rPr>
        <w:t>Therefore, secondary salinization of irrigated lands</w:t>
      </w:r>
      <w:r w:rsidR="00374EDC" w:rsidRPr="00374EDC">
        <w:rPr>
          <w:lang w:val="en-US"/>
        </w:rPr>
        <w:t xml:space="preserve"> </w:t>
      </w:r>
      <w:r w:rsidR="00374EDC">
        <w:rPr>
          <w:lang w:val="en-US"/>
        </w:rPr>
        <w:t>is crucial for global food production.</w:t>
      </w:r>
    </w:p>
    <w:p w14:paraId="1658640E" w14:textId="5FDB5F26" w:rsidR="00935CB8" w:rsidRDefault="00DC4DA9" w:rsidP="0FC6F086">
      <w:pPr>
        <w:jc w:val="both"/>
        <w:rPr>
          <w:lang w:val="en-US"/>
        </w:rPr>
      </w:pPr>
      <w:r>
        <w:rPr>
          <w:lang w:val="en-US"/>
        </w:rPr>
        <w:t>Moreover, p</w:t>
      </w:r>
      <w:r w:rsidR="0FC6F086" w:rsidRPr="0FC6F086">
        <w:rPr>
          <w:lang w:val="en-US"/>
        </w:rPr>
        <w:t>lant sensitivity to soil salinity changes during the growing season and varies with the physiological stage of crop development. Salt affects plants in different ways and on different complexity stages. Several reports are focused on comparing the response of salt - tolerance and salt - sensitive species. The most common effect on plants is a general stunting of growth as salinity reduces the ability of plants to take up water. High salt levels cause various effects on plant physiology such as ion toxicity, changes in plant growth, elementary nutrient deficiencies, decreased photosynthetic capacity, nutritional disorders, hyperosmotic stress and ion disequilibrium, leaf burn, necrosis and defoliation. These effects vary among species and especially among varieties of a given crop. For example, a high concentration in the soil may damage one species, but it doesn’t necessarily have a harmful effect on another. Crops are classified in five groups depending on their sensitivity to salinity: sensitive, moderately sensitive, moderately tolerant, tolerant, unsuitable tolerant (</w:t>
      </w:r>
      <w:r w:rsidR="0FC6F086" w:rsidRPr="00CF62A8">
        <w:rPr>
          <w:lang w:val="en-US"/>
        </w:rPr>
        <w:t>Maas and Hoffman, 1977</w:t>
      </w:r>
      <w:r w:rsidR="0FC6F086" w:rsidRPr="0FC6F086">
        <w:rPr>
          <w:lang w:val="en-US"/>
        </w:rPr>
        <w:t xml:space="preserve">). In fact, is difficult to accurately determine the level of salt concentration in which the crops are more resistant, </w:t>
      </w:r>
      <w:r>
        <w:rPr>
          <w:lang w:val="en-US"/>
        </w:rPr>
        <w:t xml:space="preserve">due to the fact that </w:t>
      </w:r>
      <w:r w:rsidR="0FC6F086" w:rsidRPr="0FC6F086">
        <w:rPr>
          <w:lang w:val="en-US"/>
        </w:rPr>
        <w:t xml:space="preserve">plant sensitivity depends on different and interacting factors such as climate (temperature and potential evaporation), soil fertility (availability of nutrients), soil physical conditions (porosity, aeration, water regime), genotype and plant age. In addition to the salinity resistance mechanisms developed by the plant itself (salt inclusion, salt exclusion), several techniques have been developed in order to reduce the </w:t>
      </w:r>
      <w:r w:rsidR="0FC6F086" w:rsidRPr="0FC6F086">
        <w:rPr>
          <w:lang w:val="en-US"/>
        </w:rPr>
        <w:lastRenderedPageBreak/>
        <w:t xml:space="preserve">phenomenon. A plant’s response to a given level of salinity cannot be determined in absolute terms and depends on the concentration and composition of the ions in solution. For instance, farmers have to know the ways in which plants respond to salinity, the relative tolerances of different crops and their sensitivity at different rates of growth. As a </w:t>
      </w:r>
      <w:r w:rsidR="00D67943" w:rsidRPr="0FC6F086">
        <w:rPr>
          <w:lang w:val="en-US"/>
        </w:rPr>
        <w:t>consequence,</w:t>
      </w:r>
      <w:r w:rsidR="0FC6F086" w:rsidRPr="0FC6F086">
        <w:rPr>
          <w:lang w:val="en-US"/>
        </w:rPr>
        <w:t xml:space="preserve"> there is a high potential for ‘’anti-salinity’’ products. Excellent resources for additional and more detailed information regarding salt tolerance of plants are the </w:t>
      </w:r>
      <w:r w:rsidR="0FC6F086" w:rsidRPr="0FC6F086">
        <w:rPr>
          <w:i/>
          <w:iCs/>
          <w:lang w:val="en-US"/>
        </w:rPr>
        <w:t>Salinity: Environment – Plants – Molecules</w:t>
      </w:r>
      <w:r w:rsidR="0FC6F086" w:rsidRPr="0FC6F086">
        <w:rPr>
          <w:lang w:val="en-US"/>
        </w:rPr>
        <w:t xml:space="preserve"> (</w:t>
      </w:r>
      <w:proofErr w:type="spellStart"/>
      <w:r w:rsidR="0FC6F086" w:rsidRPr="00CF62A8">
        <w:rPr>
          <w:lang w:val="en-US"/>
        </w:rPr>
        <w:t>Läuchli</w:t>
      </w:r>
      <w:proofErr w:type="spellEnd"/>
      <w:r w:rsidR="0FC6F086" w:rsidRPr="00CF62A8">
        <w:rPr>
          <w:lang w:val="en-US"/>
        </w:rPr>
        <w:t xml:space="preserve"> and </w:t>
      </w:r>
      <w:proofErr w:type="spellStart"/>
      <w:r w:rsidR="0FC6F086" w:rsidRPr="00CF62A8">
        <w:rPr>
          <w:lang w:val="en-US"/>
        </w:rPr>
        <w:t>Lüttge</w:t>
      </w:r>
      <w:proofErr w:type="spellEnd"/>
      <w:r w:rsidR="0FC6F086" w:rsidRPr="00CF62A8">
        <w:rPr>
          <w:lang w:val="en-US"/>
        </w:rPr>
        <w:t>, 2002</w:t>
      </w:r>
      <w:r w:rsidR="0FC6F086" w:rsidRPr="0FC6F086">
        <w:rPr>
          <w:lang w:val="en-US"/>
        </w:rPr>
        <w:t xml:space="preserve">) and </w:t>
      </w:r>
      <w:r w:rsidR="0FC6F086" w:rsidRPr="0FC6F086">
        <w:rPr>
          <w:i/>
          <w:iCs/>
          <w:lang w:val="en-US"/>
        </w:rPr>
        <w:t>Mechanisms of Salinity Tolerance</w:t>
      </w:r>
      <w:r w:rsidR="0FC6F086" w:rsidRPr="0FC6F086">
        <w:rPr>
          <w:lang w:val="en-US"/>
        </w:rPr>
        <w:t xml:space="preserve"> (</w:t>
      </w:r>
      <w:r w:rsidR="0FC6F086" w:rsidRPr="00CF62A8">
        <w:rPr>
          <w:lang w:val="en-US"/>
        </w:rPr>
        <w:t>Munns and Tester, 2008</w:t>
      </w:r>
      <w:r w:rsidR="0FC6F086" w:rsidRPr="0FC6F086">
        <w:rPr>
          <w:lang w:val="en-US"/>
        </w:rPr>
        <w:t>).</w:t>
      </w:r>
    </w:p>
    <w:p w14:paraId="32FFC825" w14:textId="4FBE69BE" w:rsidR="00D67943" w:rsidRDefault="00EC06F8" w:rsidP="00D67943">
      <w:pPr>
        <w:jc w:val="both"/>
        <w:rPr>
          <w:lang w:val="en-US"/>
        </w:rPr>
      </w:pPr>
      <w:r w:rsidRPr="00EC06F8">
        <w:rPr>
          <w:lang w:val="en-US"/>
        </w:rPr>
        <w:t xml:space="preserve">In several studies, economists have provided significant evidence about agricultural technology adoption and diffusion among growers in developing countries. </w:t>
      </w:r>
      <w:r w:rsidRPr="00CF62A8">
        <w:rPr>
          <w:lang w:val="en-US"/>
        </w:rPr>
        <w:t>Rogers (2010)</w:t>
      </w:r>
      <w:r w:rsidRPr="00EC06F8">
        <w:rPr>
          <w:lang w:val="en-US"/>
        </w:rPr>
        <w:t>, suggested that the level to which any innovation is supposed to be value-added compared with the existing product it is substituting is defined by relative advantage. Theoretical and empirical literature, suggest that producers choose to adopt a new technology in order to hedge against production risk (</w:t>
      </w:r>
      <w:proofErr w:type="spellStart"/>
      <w:r w:rsidRPr="00CF62A8">
        <w:rPr>
          <w:lang w:val="en-US"/>
        </w:rPr>
        <w:t>Koundouri</w:t>
      </w:r>
      <w:proofErr w:type="spellEnd"/>
      <w:r w:rsidRPr="00CF62A8">
        <w:rPr>
          <w:lang w:val="en-US"/>
        </w:rPr>
        <w:t xml:space="preserve"> et al., 2006</w:t>
      </w:r>
      <w:r w:rsidRPr="00EC06F8">
        <w:rPr>
          <w:lang w:val="en-US"/>
        </w:rPr>
        <w:t>). Farmers’ decision to adopt a new technology depends partly on the way that they accept</w:t>
      </w:r>
      <w:r w:rsidR="00882CB1" w:rsidRPr="00CC446F">
        <w:rPr>
          <w:lang w:val="en-US"/>
        </w:rPr>
        <w:t>,</w:t>
      </w:r>
      <w:r w:rsidRPr="00EC06F8">
        <w:rPr>
          <w:lang w:val="en-US"/>
        </w:rPr>
        <w:t xml:space="preserve"> process and evaluate information about innovations. Agricultural innovation may involve new and improved varieties of seeds, new types of fertilizer and pesticides for adoption which results in an increase in crop yields. According to </w:t>
      </w:r>
      <w:r w:rsidRPr="00CF62A8">
        <w:rPr>
          <w:lang w:val="en-US"/>
        </w:rPr>
        <w:t>Murphy (2012)</w:t>
      </w:r>
      <w:r w:rsidRPr="00EC06F8">
        <w:rPr>
          <w:lang w:val="en-US"/>
        </w:rPr>
        <w:t>, ‘</w:t>
      </w:r>
      <w:r w:rsidRPr="00EC06F8">
        <w:rPr>
          <w:i/>
          <w:lang w:val="en-US"/>
        </w:rPr>
        <w:t>’The adoption of new technologies and policies has been fundamental to agricultural development over the last 50 years</w:t>
      </w:r>
      <w:r w:rsidRPr="00EC06F8">
        <w:rPr>
          <w:lang w:val="en-US"/>
        </w:rPr>
        <w:t xml:space="preserve">’’. </w:t>
      </w:r>
      <w:proofErr w:type="spellStart"/>
      <w:r w:rsidRPr="00CF62A8">
        <w:rPr>
          <w:lang w:val="en-US"/>
        </w:rPr>
        <w:t>Sanginga</w:t>
      </w:r>
      <w:proofErr w:type="spellEnd"/>
      <w:r w:rsidRPr="00CF62A8">
        <w:rPr>
          <w:lang w:val="en-US"/>
        </w:rPr>
        <w:t xml:space="preserve"> et al. (2009)</w:t>
      </w:r>
      <w:r w:rsidRPr="00EC06F8">
        <w:rPr>
          <w:lang w:val="en-US"/>
        </w:rPr>
        <w:t xml:space="preserve"> also note that ‘</w:t>
      </w:r>
      <w:r w:rsidRPr="00EC06F8">
        <w:rPr>
          <w:i/>
          <w:lang w:val="en-US"/>
        </w:rPr>
        <w:t>’the wave of innovation is called the ‘’diffusion curve’’ which is usually depicted as an S: The diffusion process starts slowly then gathers momentum and finally peters out when all farmers whom it is relevant or feasible have adopted the innovation</w:t>
      </w:r>
      <w:r w:rsidRPr="00EC06F8">
        <w:rPr>
          <w:lang w:val="en-US"/>
        </w:rPr>
        <w:t>’’. When a new technology begins to be adopted, three separate groups of farming population are observed: early adopters, followers and laggards (</w:t>
      </w:r>
      <w:r w:rsidRPr="00CF62A8">
        <w:rPr>
          <w:lang w:val="en-US"/>
        </w:rPr>
        <w:t>Cochrane, 1979</w:t>
      </w:r>
      <w:r w:rsidRPr="00EC06F8">
        <w:rPr>
          <w:lang w:val="en-US"/>
        </w:rPr>
        <w:t xml:space="preserve">). Firstly, only a few individuals adopt the innovation. </w:t>
      </w:r>
      <w:r w:rsidR="00D67943">
        <w:rPr>
          <w:lang w:val="en-US"/>
        </w:rPr>
        <w:t>Initially, a</w:t>
      </w:r>
      <w:r w:rsidRPr="00EC06F8">
        <w:rPr>
          <w:lang w:val="en-US"/>
        </w:rPr>
        <w:t xml:space="preserve"> small number of the early adopters </w:t>
      </w:r>
      <w:r w:rsidR="00D67943">
        <w:rPr>
          <w:lang w:val="en-US"/>
        </w:rPr>
        <w:t xml:space="preserve">makes </w:t>
      </w:r>
      <w:r w:rsidRPr="00EC06F8">
        <w:rPr>
          <w:lang w:val="en-US"/>
        </w:rPr>
        <w:t xml:space="preserve">profit from the </w:t>
      </w:r>
      <w:r w:rsidR="00D67943">
        <w:rPr>
          <w:lang w:val="en-US"/>
        </w:rPr>
        <w:t xml:space="preserve">adoption of </w:t>
      </w:r>
      <w:r w:rsidRPr="00EC06F8">
        <w:rPr>
          <w:lang w:val="en-US"/>
        </w:rPr>
        <w:t xml:space="preserve">innovation. </w:t>
      </w:r>
      <w:r w:rsidR="00D67943" w:rsidRPr="00EC06F8">
        <w:rPr>
          <w:lang w:val="en-US"/>
        </w:rPr>
        <w:t>Then, followers (the large share of the farming group) seeing the early adopters’ profits, tend to adopt the innovation during its take-off stage. Thus, this category of adopters may gain or lose from the innovation as a result of their choice that will finally tend to decrease prices and as well the profits. The laggards are the farmers who delay to adopt the innovation or do not adopt to all (they produce at low prices the same quantity as before).</w:t>
      </w:r>
      <w:r w:rsidR="00D67943">
        <w:rPr>
          <w:lang w:val="en-US"/>
        </w:rPr>
        <w:t xml:space="preserve"> </w:t>
      </w:r>
      <w:r w:rsidR="00D67943" w:rsidRPr="002458F7">
        <w:rPr>
          <w:lang w:val="en-US"/>
        </w:rPr>
        <w:t>On the other hand, certain categories of producers who are</w:t>
      </w:r>
      <w:r w:rsidR="00D67943" w:rsidRPr="00EC06F8">
        <w:rPr>
          <w:lang w:val="en-US"/>
        </w:rPr>
        <w:t xml:space="preserve"> too small, too old or too intransigent, are rarely able to keep up with new practices, so they drop out.</w:t>
      </w:r>
    </w:p>
    <w:p w14:paraId="63FC4224" w14:textId="5112D812" w:rsidR="00DC4DA9" w:rsidRDefault="00DC4DA9" w:rsidP="00322533">
      <w:pPr>
        <w:jc w:val="both"/>
        <w:rPr>
          <w:lang w:val="en-US"/>
        </w:rPr>
      </w:pPr>
      <w:r>
        <w:rPr>
          <w:lang w:val="en-US"/>
        </w:rPr>
        <w:t xml:space="preserve">For a farmer (producer), is significant to maximize his/her </w:t>
      </w:r>
      <w:r w:rsidR="00D67943">
        <w:rPr>
          <w:lang w:val="en-US"/>
        </w:rPr>
        <w:t>profit-making</w:t>
      </w:r>
      <w:r>
        <w:rPr>
          <w:lang w:val="en-US"/>
        </w:rPr>
        <w:t xml:space="preserve"> decisions according to budget limitations, input</w:t>
      </w:r>
      <w:r w:rsidRPr="00D06A3E">
        <w:rPr>
          <w:lang w:val="en-US"/>
        </w:rPr>
        <w:t xml:space="preserve"> </w:t>
      </w:r>
      <w:r>
        <w:rPr>
          <w:lang w:val="en-US"/>
        </w:rPr>
        <w:t xml:space="preserve">and product combinations. </w:t>
      </w:r>
      <w:r>
        <w:rPr>
          <w:lang w:val="en-US"/>
        </w:rPr>
        <w:t>In the same way</w:t>
      </w:r>
      <w:r w:rsidR="002F5883">
        <w:rPr>
          <w:lang w:val="en-US"/>
        </w:rPr>
        <w:t>,</w:t>
      </w:r>
      <w:r>
        <w:rPr>
          <w:lang w:val="en-US"/>
        </w:rPr>
        <w:t xml:space="preserve"> companies define their production according to their technological equipment, cost constraints and the inputs’ plurality of combinations in order to produce outputs.</w:t>
      </w:r>
      <w:r w:rsidR="00D67943">
        <w:rPr>
          <w:lang w:val="en-US"/>
        </w:rPr>
        <w:t xml:space="preserve"> </w:t>
      </w:r>
      <w:r w:rsidRPr="00D33DFA">
        <w:rPr>
          <w:lang w:val="en-US"/>
        </w:rPr>
        <w:t xml:space="preserve">Through </w:t>
      </w:r>
      <w:r w:rsidR="00EC3A4D">
        <w:rPr>
          <w:lang w:val="en-US"/>
        </w:rPr>
        <w:t>willingness to pay (</w:t>
      </w:r>
      <w:r w:rsidRPr="00D33DFA">
        <w:rPr>
          <w:lang w:val="en-US"/>
        </w:rPr>
        <w:t>WTP</w:t>
      </w:r>
      <w:r w:rsidR="00EC3A4D">
        <w:rPr>
          <w:lang w:val="en-US"/>
        </w:rPr>
        <w:t>)</w:t>
      </w:r>
      <w:r w:rsidRPr="00D33DFA">
        <w:rPr>
          <w:lang w:val="en-US"/>
        </w:rPr>
        <w:t xml:space="preserve"> is possible to formulate the demand curve for a new entrant product in the marketplace.</w:t>
      </w:r>
      <w:r>
        <w:rPr>
          <w:lang w:val="en-US"/>
        </w:rPr>
        <w:t xml:space="preserve"> As a result, the average value will be seen as an estimation of the price that farmers could pay for a desired amount of fertilizer. The WTP is an estimation that of the company’s demand and also compared to the present market prices offers significant information about the market situation. In </w:t>
      </w:r>
      <w:r w:rsidR="00D67943">
        <w:rPr>
          <w:lang w:val="en-US"/>
        </w:rPr>
        <w:t>fact,</w:t>
      </w:r>
      <w:r>
        <w:rPr>
          <w:lang w:val="en-US"/>
        </w:rPr>
        <w:t xml:space="preserve"> the ordinary Marshallian demand curve doesn’t hold the level of utility or satisfaction </w:t>
      </w:r>
      <w:r w:rsidR="00D67943">
        <w:rPr>
          <w:lang w:val="en-US"/>
        </w:rPr>
        <w:t>constant but</w:t>
      </w:r>
      <w:r>
        <w:rPr>
          <w:lang w:val="en-US"/>
        </w:rPr>
        <w:t xml:space="preserve"> holds the income </w:t>
      </w:r>
      <w:r w:rsidR="00D67943">
        <w:rPr>
          <w:lang w:val="en-US"/>
        </w:rPr>
        <w:t>stable</w:t>
      </w:r>
      <w:r>
        <w:rPr>
          <w:lang w:val="en-US"/>
        </w:rPr>
        <w:t>. On the other hand, Hicks proposed two valuation measures of the gain or loss that hold utility constant and refer to consumers who are able to vary the quantity of the under valuation good (</w:t>
      </w:r>
      <w:r w:rsidRPr="00CF62A8">
        <w:rPr>
          <w:lang w:val="en-US"/>
        </w:rPr>
        <w:t>Mitchell and Carson, 1989</w:t>
      </w:r>
      <w:r>
        <w:rPr>
          <w:lang w:val="en-US"/>
        </w:rPr>
        <w:t>)</w:t>
      </w:r>
    </w:p>
    <w:p w14:paraId="6FD3B069" w14:textId="40027823" w:rsidR="001C088C" w:rsidRDefault="00F63A7A" w:rsidP="00322533">
      <w:pPr>
        <w:jc w:val="both"/>
        <w:rPr>
          <w:lang w:val="en-US"/>
        </w:rPr>
      </w:pPr>
      <w:r>
        <w:rPr>
          <w:lang w:val="en-US"/>
        </w:rPr>
        <w:t>In</w:t>
      </w:r>
      <w:r w:rsidR="007653B1">
        <w:rPr>
          <w:lang w:val="en-US"/>
        </w:rPr>
        <w:t xml:space="preserve"> this research study, an attempt has been made to</w:t>
      </w:r>
      <w:r w:rsidR="00140202">
        <w:rPr>
          <w:lang w:val="en-US"/>
        </w:rPr>
        <w:t xml:space="preserve"> examine </w:t>
      </w:r>
      <w:r w:rsidR="008C7703">
        <w:rPr>
          <w:lang w:val="en-US"/>
        </w:rPr>
        <w:t>producers</w:t>
      </w:r>
      <w:r w:rsidR="00A07440">
        <w:rPr>
          <w:lang w:val="en-US"/>
        </w:rPr>
        <w:t>’</w:t>
      </w:r>
      <w:r w:rsidR="008C7703">
        <w:rPr>
          <w:lang w:val="en-US"/>
        </w:rPr>
        <w:t xml:space="preserve"> </w:t>
      </w:r>
      <w:r w:rsidR="00340233">
        <w:rPr>
          <w:lang w:val="en-US"/>
        </w:rPr>
        <w:t>WTP</w:t>
      </w:r>
      <w:r w:rsidR="008C7703">
        <w:rPr>
          <w:lang w:val="en-US"/>
        </w:rPr>
        <w:t xml:space="preserve"> for an inno</w:t>
      </w:r>
      <w:r w:rsidR="00EA3A10">
        <w:rPr>
          <w:lang w:val="en-US"/>
        </w:rPr>
        <w:t>vative fertilizer</w:t>
      </w:r>
      <w:r w:rsidR="00A301CA">
        <w:rPr>
          <w:lang w:val="en-US"/>
        </w:rPr>
        <w:t xml:space="preserve"> against salinity</w:t>
      </w:r>
      <w:r w:rsidR="00140202">
        <w:rPr>
          <w:lang w:val="en-US"/>
        </w:rPr>
        <w:t xml:space="preserve"> and define the major factors</w:t>
      </w:r>
      <w:r w:rsidR="00BF687F">
        <w:rPr>
          <w:lang w:val="en-US"/>
        </w:rPr>
        <w:t xml:space="preserve"> affecting</w:t>
      </w:r>
      <w:r w:rsidR="00140202">
        <w:rPr>
          <w:lang w:val="en-US"/>
        </w:rPr>
        <w:t xml:space="preserve"> on the payment </w:t>
      </w:r>
      <w:r w:rsidR="00140202">
        <w:rPr>
          <w:lang w:val="en-US"/>
        </w:rPr>
        <w:lastRenderedPageBreak/>
        <w:t xml:space="preserve">decision amongst Greek farmers. </w:t>
      </w:r>
      <w:r w:rsidR="00C2469A">
        <w:rPr>
          <w:lang w:val="en-US"/>
        </w:rPr>
        <w:t xml:space="preserve">Nevertheless, information about producer acceptability and willingness to pay is not widely reported. </w:t>
      </w:r>
      <w:r w:rsidR="00771292">
        <w:rPr>
          <w:lang w:val="en-US"/>
        </w:rPr>
        <w:t>A number of</w:t>
      </w:r>
      <w:r w:rsidR="003B61B8">
        <w:rPr>
          <w:lang w:val="en-US"/>
        </w:rPr>
        <w:t xml:space="preserve"> </w:t>
      </w:r>
      <w:r w:rsidR="003071BA">
        <w:rPr>
          <w:lang w:val="en-US"/>
        </w:rPr>
        <w:t xml:space="preserve">previous </w:t>
      </w:r>
      <w:r w:rsidR="003B61B8">
        <w:rPr>
          <w:lang w:val="en-US"/>
        </w:rPr>
        <w:t>studies have</w:t>
      </w:r>
      <w:r w:rsidR="00771292">
        <w:rPr>
          <w:lang w:val="en-US"/>
        </w:rPr>
        <w:t xml:space="preserve"> analyzed adoption </w:t>
      </w:r>
      <w:r w:rsidR="0088770B">
        <w:rPr>
          <w:lang w:val="en-US"/>
        </w:rPr>
        <w:t>and farmers’</w:t>
      </w:r>
      <w:r w:rsidR="0022100A">
        <w:rPr>
          <w:lang w:val="en-US"/>
        </w:rPr>
        <w:t xml:space="preserve"> willingness to pay for </w:t>
      </w:r>
      <w:r w:rsidR="00771292">
        <w:rPr>
          <w:lang w:val="en-US"/>
        </w:rPr>
        <w:t>agricultural</w:t>
      </w:r>
      <w:r w:rsidR="00431C6A">
        <w:rPr>
          <w:lang w:val="en-US"/>
        </w:rPr>
        <w:t xml:space="preserve"> products and polic</w:t>
      </w:r>
      <w:r w:rsidR="00062F3A">
        <w:rPr>
          <w:lang w:val="en-US"/>
        </w:rPr>
        <w:t>i</w:t>
      </w:r>
      <w:r w:rsidR="00431C6A">
        <w:rPr>
          <w:lang w:val="en-US"/>
        </w:rPr>
        <w:t>es</w:t>
      </w:r>
      <w:r w:rsidR="00CB22E2">
        <w:rPr>
          <w:lang w:val="en-US"/>
        </w:rPr>
        <w:t xml:space="preserve"> (</w:t>
      </w:r>
      <w:r w:rsidR="00CB22E2" w:rsidRPr="00CF62A8">
        <w:rPr>
          <w:lang w:val="en-US"/>
        </w:rPr>
        <w:t xml:space="preserve">Lichtenberg and Zimmerman 1999; </w:t>
      </w:r>
      <w:proofErr w:type="spellStart"/>
      <w:r w:rsidR="00CB22E2" w:rsidRPr="00CF62A8">
        <w:rPr>
          <w:lang w:val="en-US"/>
        </w:rPr>
        <w:t>Qaim</w:t>
      </w:r>
      <w:proofErr w:type="spellEnd"/>
      <w:r w:rsidR="00CB22E2" w:rsidRPr="00CF62A8">
        <w:rPr>
          <w:lang w:val="en-US"/>
        </w:rPr>
        <w:t xml:space="preserve"> and </w:t>
      </w:r>
      <w:proofErr w:type="spellStart"/>
      <w:r w:rsidR="00CB22E2" w:rsidRPr="00CF62A8">
        <w:rPr>
          <w:lang w:val="en-US"/>
        </w:rPr>
        <w:t>Janvry</w:t>
      </w:r>
      <w:proofErr w:type="spellEnd"/>
      <w:r w:rsidR="00CB22E2" w:rsidRPr="00CF62A8">
        <w:rPr>
          <w:lang w:val="en-US"/>
        </w:rPr>
        <w:t xml:space="preserve"> 2002; </w:t>
      </w:r>
      <w:proofErr w:type="spellStart"/>
      <w:r w:rsidR="00DC20FE" w:rsidRPr="00CF62A8">
        <w:rPr>
          <w:lang w:val="en-US"/>
        </w:rPr>
        <w:t>Danso</w:t>
      </w:r>
      <w:proofErr w:type="spellEnd"/>
      <w:r w:rsidR="00DC20FE" w:rsidRPr="00CF62A8">
        <w:rPr>
          <w:lang w:val="en-US"/>
        </w:rPr>
        <w:t xml:space="preserve"> et al. 200</w:t>
      </w:r>
      <w:r w:rsidR="00197CBC" w:rsidRPr="00CC446F">
        <w:rPr>
          <w:lang w:val="en-US"/>
        </w:rPr>
        <w:t>6</w:t>
      </w:r>
      <w:r w:rsidR="00DC20FE" w:rsidRPr="00CF62A8">
        <w:rPr>
          <w:lang w:val="en-US"/>
        </w:rPr>
        <w:t xml:space="preserve">; </w:t>
      </w:r>
      <w:proofErr w:type="spellStart"/>
      <w:r w:rsidR="006F1F56" w:rsidRPr="00CF62A8">
        <w:rPr>
          <w:lang w:val="en-US"/>
        </w:rPr>
        <w:t>Bakopoulou</w:t>
      </w:r>
      <w:proofErr w:type="spellEnd"/>
      <w:r w:rsidR="006F1F56" w:rsidRPr="00CF62A8">
        <w:rPr>
          <w:lang w:val="en-US"/>
        </w:rPr>
        <w:t xml:space="preserve"> et al. 2010; </w:t>
      </w:r>
      <w:r w:rsidR="00E9784B" w:rsidRPr="00C872F3">
        <w:rPr>
          <w:iCs/>
          <w:lang w:val="en-US"/>
        </w:rPr>
        <w:t>Uddin et al. 201</w:t>
      </w:r>
      <w:r w:rsidR="00D71509" w:rsidRPr="00CC446F">
        <w:rPr>
          <w:iCs/>
          <w:lang w:val="en-US"/>
        </w:rPr>
        <w:t>6</w:t>
      </w:r>
      <w:r w:rsidR="00E9784B" w:rsidRPr="00CF62A8">
        <w:rPr>
          <w:iCs/>
          <w:lang w:val="en-US"/>
        </w:rPr>
        <w:t xml:space="preserve">; </w:t>
      </w:r>
      <w:proofErr w:type="spellStart"/>
      <w:r w:rsidR="002326C4" w:rsidRPr="00CF62A8">
        <w:rPr>
          <w:iCs/>
          <w:lang w:val="en-US"/>
        </w:rPr>
        <w:t>Etim</w:t>
      </w:r>
      <w:proofErr w:type="spellEnd"/>
      <w:r w:rsidR="002326C4" w:rsidRPr="00CF62A8">
        <w:rPr>
          <w:iCs/>
          <w:lang w:val="en-US"/>
        </w:rPr>
        <w:t xml:space="preserve"> and </w:t>
      </w:r>
      <w:r w:rsidR="00990E54" w:rsidRPr="00CF62A8">
        <w:rPr>
          <w:iCs/>
          <w:lang w:val="en-US"/>
        </w:rPr>
        <w:t xml:space="preserve">Benson 2016; </w:t>
      </w:r>
      <w:proofErr w:type="spellStart"/>
      <w:r w:rsidR="009D600F" w:rsidRPr="00C872F3">
        <w:rPr>
          <w:iCs/>
          <w:lang w:val="en-US"/>
        </w:rPr>
        <w:t>Bozorg</w:t>
      </w:r>
      <w:proofErr w:type="spellEnd"/>
      <w:r w:rsidR="009D600F" w:rsidRPr="00C872F3">
        <w:rPr>
          <w:iCs/>
          <w:lang w:val="en-US"/>
        </w:rPr>
        <w:t xml:space="preserve">-Haddad et al. 2016; </w:t>
      </w:r>
      <w:r w:rsidR="007B6249" w:rsidRPr="00D71509">
        <w:rPr>
          <w:lang w:val="en-US"/>
        </w:rPr>
        <w:t xml:space="preserve">Adnan et al. </w:t>
      </w:r>
      <w:r w:rsidR="00B438F2" w:rsidRPr="00D71509">
        <w:rPr>
          <w:lang w:val="en-US"/>
        </w:rPr>
        <w:t>2017</w:t>
      </w:r>
      <w:r w:rsidR="00771292">
        <w:rPr>
          <w:lang w:val="en-US"/>
        </w:rPr>
        <w:t>)</w:t>
      </w:r>
      <w:r w:rsidR="0088770B">
        <w:rPr>
          <w:lang w:val="en-US"/>
        </w:rPr>
        <w:t>.</w:t>
      </w:r>
      <w:r w:rsidR="00340233">
        <w:rPr>
          <w:lang w:val="en-US"/>
        </w:rPr>
        <w:t xml:space="preserve"> </w:t>
      </w:r>
      <w:r w:rsidR="000D661C">
        <w:rPr>
          <w:lang w:val="en-US"/>
        </w:rPr>
        <w:t xml:space="preserve">The key-words to search for these articles were based on words such as ‘’fertilizers’’, ‘’producer’s willingness to pay for fertilizers’’, ‘’adoption of innovative fertilizers’’ and ‘’salinity fertilizers’’. </w:t>
      </w:r>
      <w:r w:rsidR="00340233">
        <w:rPr>
          <w:lang w:val="en-US"/>
        </w:rPr>
        <w:t>To the best of our knowledge, farmers’ preferences and willingness to pay for fertilizers against soil salinity have not been investigated.</w:t>
      </w:r>
      <w:r w:rsidR="001C088C">
        <w:rPr>
          <w:lang w:val="en-US"/>
        </w:rPr>
        <w:t xml:space="preserve"> </w:t>
      </w:r>
      <w:r w:rsidR="00DD184E" w:rsidRPr="00DD184E">
        <w:rPr>
          <w:lang w:val="en-US"/>
        </w:rPr>
        <w:t>Furthermore, additional research into this area demonstrates a number of non-financial variables affecting the decision of farmers on the adoption of new technologies and policies, such as farmer and household characteristics (</w:t>
      </w:r>
      <w:r w:rsidR="000D661C">
        <w:rPr>
          <w:lang w:val="en-US"/>
        </w:rPr>
        <w:t xml:space="preserve">e.g., </w:t>
      </w:r>
      <w:r w:rsidR="00DD184E" w:rsidRPr="00DD184E">
        <w:rPr>
          <w:lang w:val="en-US"/>
        </w:rPr>
        <w:t>age, education, gender, stage in family cycle), type and size of the farm, grower’s social milieu (</w:t>
      </w:r>
      <w:r w:rsidR="000D661C">
        <w:rPr>
          <w:lang w:val="en-US"/>
        </w:rPr>
        <w:t xml:space="preserve">e.g., </w:t>
      </w:r>
      <w:r w:rsidR="00DD184E" w:rsidRPr="00DD184E">
        <w:rPr>
          <w:lang w:val="en-US"/>
        </w:rPr>
        <w:t>local culture, social attitude, fellow farmers, policy environment) and the characteristics of the innovation to be</w:t>
      </w:r>
      <w:r w:rsidR="00DD184E">
        <w:rPr>
          <w:lang w:val="en-US"/>
        </w:rPr>
        <w:t xml:space="preserve"> adopted (</w:t>
      </w:r>
      <w:r w:rsidR="00DD184E" w:rsidRPr="00CF62A8">
        <w:rPr>
          <w:lang w:val="en-US"/>
        </w:rPr>
        <w:t>Murphy, 2012</w:t>
      </w:r>
      <w:r w:rsidR="00DD184E">
        <w:rPr>
          <w:lang w:val="en-US"/>
        </w:rPr>
        <w:t>).</w:t>
      </w:r>
      <w:r w:rsidR="00D41DA1" w:rsidRPr="00D41DA1">
        <w:rPr>
          <w:lang w:val="en-US"/>
        </w:rPr>
        <w:t xml:space="preserve"> </w:t>
      </w:r>
      <w:r w:rsidR="00D41DA1">
        <w:rPr>
          <w:lang w:val="en-US"/>
        </w:rPr>
        <w:t>This research also works as an</w:t>
      </w:r>
      <w:r w:rsidR="008A3B65">
        <w:rPr>
          <w:lang w:val="en-US"/>
        </w:rPr>
        <w:t xml:space="preserve"> ancillary and advisory service</w:t>
      </w:r>
      <w:r w:rsidR="00D41DA1">
        <w:rPr>
          <w:lang w:val="en-US"/>
        </w:rPr>
        <w:t xml:space="preserve"> to </w:t>
      </w:r>
      <w:r w:rsidR="007E2223">
        <w:rPr>
          <w:lang w:val="en-US"/>
        </w:rPr>
        <w:t xml:space="preserve">the industries of agricultural supplies concerning the pricing </w:t>
      </w:r>
      <w:r w:rsidR="0065110B">
        <w:rPr>
          <w:lang w:val="en-US"/>
        </w:rPr>
        <w:t>policy</w:t>
      </w:r>
      <w:r w:rsidR="007E2223">
        <w:rPr>
          <w:lang w:val="en-US"/>
        </w:rPr>
        <w:t xml:space="preserve"> they have to apply </w:t>
      </w:r>
      <w:r w:rsidR="008A3B65">
        <w:rPr>
          <w:lang w:val="en-US"/>
        </w:rPr>
        <w:t>to a new product that is not yet on the marketplace.</w:t>
      </w:r>
      <w:r w:rsidR="0081172A" w:rsidRPr="0081172A">
        <w:rPr>
          <w:lang w:val="en-US"/>
        </w:rPr>
        <w:t xml:space="preserve"> </w:t>
      </w:r>
      <w:r w:rsidR="003D1B05">
        <w:rPr>
          <w:lang w:val="en-US"/>
        </w:rPr>
        <w:t>Finally, it is a useful source of information for these industries about the farmers’ acceptance of an innovative product.</w:t>
      </w:r>
    </w:p>
    <w:p w14:paraId="67D7F1E1" w14:textId="77777777" w:rsidR="00EC3A4D" w:rsidRPr="003D1B05" w:rsidRDefault="00EC3A4D" w:rsidP="00322533">
      <w:pPr>
        <w:jc w:val="both"/>
        <w:rPr>
          <w:lang w:val="en-US"/>
        </w:rPr>
      </w:pPr>
    </w:p>
    <w:p w14:paraId="57B7B86F" w14:textId="77777777" w:rsidR="0033147A" w:rsidRDefault="005027D9" w:rsidP="00DC4DA9">
      <w:pPr>
        <w:jc w:val="both"/>
        <w:outlineLvl w:val="0"/>
        <w:rPr>
          <w:b/>
          <w:lang w:val="en-US"/>
        </w:rPr>
      </w:pPr>
      <w:r w:rsidRPr="00160C78">
        <w:rPr>
          <w:b/>
          <w:lang w:val="en-US"/>
        </w:rPr>
        <w:t xml:space="preserve">2. A theoretical </w:t>
      </w:r>
      <w:r w:rsidR="0033147A">
        <w:rPr>
          <w:b/>
          <w:lang w:val="en-US"/>
        </w:rPr>
        <w:t>review</w:t>
      </w:r>
    </w:p>
    <w:p w14:paraId="0B3B7967" w14:textId="5237C3F2" w:rsidR="00E04C66" w:rsidRDefault="00E04C66" w:rsidP="00322533">
      <w:pPr>
        <w:jc w:val="both"/>
        <w:rPr>
          <w:lang w:val="en-US"/>
        </w:rPr>
      </w:pPr>
    </w:p>
    <w:p w14:paraId="29D565A6" w14:textId="7C402964" w:rsidR="00E03DEB" w:rsidRPr="00E03DEB" w:rsidRDefault="00DC4DA9" w:rsidP="002C4508">
      <w:pPr>
        <w:jc w:val="both"/>
        <w:rPr>
          <w:lang w:val="en-US"/>
        </w:rPr>
      </w:pPr>
      <w:r>
        <w:rPr>
          <w:lang w:val="en-US"/>
        </w:rPr>
        <w:t>Since t</w:t>
      </w:r>
      <w:r w:rsidR="00E07D4D">
        <w:rPr>
          <w:lang w:val="en-US"/>
        </w:rPr>
        <w:t xml:space="preserve">he objective of this study is to uncover </w:t>
      </w:r>
      <w:r w:rsidR="00DB12C5">
        <w:rPr>
          <w:lang w:val="en-US"/>
        </w:rPr>
        <w:t xml:space="preserve">producers’ preferences </w:t>
      </w:r>
      <w:r w:rsidR="00E07D4D">
        <w:rPr>
          <w:lang w:val="en-US"/>
        </w:rPr>
        <w:t xml:space="preserve">and WTP </w:t>
      </w:r>
      <w:r w:rsidR="00DB12C5">
        <w:rPr>
          <w:lang w:val="en-US"/>
        </w:rPr>
        <w:t>for an innovative fertilizer</w:t>
      </w:r>
      <w:r w:rsidR="00A05AAF">
        <w:rPr>
          <w:lang w:val="en-US"/>
        </w:rPr>
        <w:t xml:space="preserve"> against salinity</w:t>
      </w:r>
      <w:r>
        <w:rPr>
          <w:lang w:val="en-US"/>
        </w:rPr>
        <w:t>,</w:t>
      </w:r>
      <w:r w:rsidR="00C949F2">
        <w:rPr>
          <w:lang w:val="en-US"/>
        </w:rPr>
        <w:t xml:space="preserve"> </w:t>
      </w:r>
      <w:r>
        <w:rPr>
          <w:lang w:val="en-US"/>
        </w:rPr>
        <w:t>t</w:t>
      </w:r>
      <w:r w:rsidR="00E07D4D">
        <w:rPr>
          <w:lang w:val="en-US"/>
        </w:rPr>
        <w:t>he method used for the above investigation is Contingent Valuation method (CV) which belongs to stated preference methods</w:t>
      </w:r>
      <w:r w:rsidR="002A3817">
        <w:rPr>
          <w:rStyle w:val="FootnoteReference"/>
          <w:lang w:val="en-US"/>
        </w:rPr>
        <w:footnoteReference w:id="3"/>
      </w:r>
      <w:r w:rsidR="00E07D4D">
        <w:rPr>
          <w:lang w:val="en-US"/>
        </w:rPr>
        <w:t>. The CV method</w:t>
      </w:r>
      <w:r w:rsidR="00C949F2">
        <w:rPr>
          <w:lang w:val="en-US"/>
        </w:rPr>
        <w:t xml:space="preserve"> </w:t>
      </w:r>
      <w:r w:rsidR="00B605AE">
        <w:rPr>
          <w:lang w:val="en-US"/>
        </w:rPr>
        <w:t>has become one of the most widely used</w:t>
      </w:r>
      <w:r w:rsidR="00D1565A">
        <w:rPr>
          <w:lang w:val="en-US"/>
        </w:rPr>
        <w:t xml:space="preserve"> </w:t>
      </w:r>
      <w:r w:rsidR="00C949F2">
        <w:rPr>
          <w:lang w:val="en-US"/>
        </w:rPr>
        <w:t>method</w:t>
      </w:r>
      <w:r w:rsidR="00726171">
        <w:rPr>
          <w:lang w:val="en-US"/>
        </w:rPr>
        <w:t>s</w:t>
      </w:r>
      <w:r w:rsidR="00C949F2">
        <w:rPr>
          <w:lang w:val="en-US"/>
        </w:rPr>
        <w:t xml:space="preserve"> to measure WTP values for</w:t>
      </w:r>
      <w:r w:rsidR="006C3E73">
        <w:rPr>
          <w:lang w:val="en-US"/>
        </w:rPr>
        <w:t xml:space="preserve"> private and public</w:t>
      </w:r>
      <w:r w:rsidR="00C949F2">
        <w:rPr>
          <w:lang w:val="en-US"/>
        </w:rPr>
        <w:t xml:space="preserve"> </w:t>
      </w:r>
      <w:r w:rsidR="00E21FB2">
        <w:rPr>
          <w:lang w:val="en-US"/>
        </w:rPr>
        <w:t xml:space="preserve">goods, services or </w:t>
      </w:r>
      <w:r w:rsidR="00850BCB">
        <w:rPr>
          <w:lang w:val="en-US"/>
        </w:rPr>
        <w:t>amenities</w:t>
      </w:r>
      <w:r w:rsidR="00C949F2">
        <w:rPr>
          <w:lang w:val="en-US"/>
        </w:rPr>
        <w:t>.</w:t>
      </w:r>
      <w:r w:rsidR="00E03DEB" w:rsidRPr="00E03DEB">
        <w:rPr>
          <w:lang w:val="en-US"/>
        </w:rPr>
        <w:t xml:space="preserve"> </w:t>
      </w:r>
      <w:r w:rsidR="006C236F">
        <w:rPr>
          <w:lang w:val="en-US"/>
        </w:rPr>
        <w:t>In simple terms</w:t>
      </w:r>
      <w:r w:rsidR="00E03DEB">
        <w:rPr>
          <w:lang w:val="en-US"/>
        </w:rPr>
        <w:t xml:space="preserve">, </w:t>
      </w:r>
      <w:r w:rsidR="00E03DEB" w:rsidRPr="00E03DEB">
        <w:rPr>
          <w:lang w:val="en-US"/>
        </w:rPr>
        <w:t>CV</w:t>
      </w:r>
      <w:r w:rsidR="00E03DEB">
        <w:rPr>
          <w:lang w:val="en-US"/>
        </w:rPr>
        <w:t xml:space="preserve"> is a survey</w:t>
      </w:r>
      <w:r>
        <w:rPr>
          <w:lang w:val="en-US"/>
        </w:rPr>
        <w:t>-</w:t>
      </w:r>
      <w:r w:rsidR="00E03DEB">
        <w:rPr>
          <w:lang w:val="en-US"/>
        </w:rPr>
        <w:t>based technique regularly used for placing monetary values on environmental goods and services not bought and sold in the market place</w:t>
      </w:r>
      <w:r w:rsidR="00BB1774">
        <w:rPr>
          <w:lang w:val="en-US"/>
        </w:rPr>
        <w:t>. Also,</w:t>
      </w:r>
      <w:r w:rsidR="00E03DEB" w:rsidRPr="00E03DEB">
        <w:rPr>
          <w:lang w:val="en-US"/>
        </w:rPr>
        <w:t xml:space="preserve"> is simple and has great flexibility, as well as allowing estimation of a total economic value, rather than just</w:t>
      </w:r>
      <w:r w:rsidR="00093446">
        <w:rPr>
          <w:lang w:val="en-US"/>
        </w:rPr>
        <w:t xml:space="preserve"> components of that total value</w:t>
      </w:r>
      <w:r w:rsidR="00093446">
        <w:rPr>
          <w:rStyle w:val="FootnoteReference"/>
          <w:lang w:val="en-US"/>
        </w:rPr>
        <w:footnoteReference w:id="4"/>
      </w:r>
      <w:r w:rsidR="00093446">
        <w:rPr>
          <w:lang w:val="en-US"/>
        </w:rPr>
        <w:t xml:space="preserve">. </w:t>
      </w:r>
      <w:r w:rsidR="00E03DEB" w:rsidRPr="00E03DEB">
        <w:rPr>
          <w:lang w:val="en-US"/>
        </w:rPr>
        <w:t>This is not possible with many of its alternatives non-valuation techniques, too.</w:t>
      </w:r>
    </w:p>
    <w:p w14:paraId="532345A0" w14:textId="77777777" w:rsidR="008C7703" w:rsidRDefault="00972B41" w:rsidP="00322533">
      <w:pPr>
        <w:jc w:val="both"/>
        <w:rPr>
          <w:lang w:val="en-US"/>
        </w:rPr>
      </w:pPr>
      <w:r w:rsidRPr="00972B41">
        <w:rPr>
          <w:lang w:val="en-US"/>
        </w:rPr>
        <w:t xml:space="preserve">This </w:t>
      </w:r>
      <w:r w:rsidR="00DA1BE0">
        <w:rPr>
          <w:lang w:val="en-US"/>
        </w:rPr>
        <w:t xml:space="preserve">valuation technique </w:t>
      </w:r>
      <w:r w:rsidRPr="00972B41">
        <w:rPr>
          <w:lang w:val="en-US"/>
        </w:rPr>
        <w:t>has been in use for more than 35 years, and nowadays there are over 2000 papers and studies related to the topic (</w:t>
      </w:r>
      <w:r w:rsidRPr="00CF62A8">
        <w:rPr>
          <w:lang w:val="en-US"/>
        </w:rPr>
        <w:t>Carson et al., 1995</w:t>
      </w:r>
      <w:r w:rsidRPr="00972B41">
        <w:rPr>
          <w:lang w:val="en-US"/>
        </w:rPr>
        <w:t>).</w:t>
      </w:r>
      <w:r w:rsidR="00B605AE">
        <w:rPr>
          <w:lang w:val="en-US"/>
        </w:rPr>
        <w:t xml:space="preserve"> </w:t>
      </w:r>
      <w:r w:rsidR="004E32AD">
        <w:rPr>
          <w:lang w:val="en-US"/>
        </w:rPr>
        <w:t>The CV method was</w:t>
      </w:r>
      <w:r w:rsidR="00126FE5">
        <w:rPr>
          <w:lang w:val="en-US"/>
        </w:rPr>
        <w:t xml:space="preserve"> initially proposed by </w:t>
      </w:r>
      <w:proofErr w:type="spellStart"/>
      <w:r w:rsidR="00126FE5" w:rsidRPr="00CF62A8">
        <w:rPr>
          <w:lang w:val="en-US"/>
        </w:rPr>
        <w:t>Ciriacy-Wantrup</w:t>
      </w:r>
      <w:proofErr w:type="spellEnd"/>
      <w:r w:rsidR="004E32AD" w:rsidRPr="00CF62A8">
        <w:rPr>
          <w:lang w:val="en-US"/>
        </w:rPr>
        <w:t xml:space="preserve"> </w:t>
      </w:r>
      <w:r w:rsidR="00126FE5" w:rsidRPr="00CF62A8">
        <w:rPr>
          <w:lang w:val="en-US"/>
        </w:rPr>
        <w:t>(1947)</w:t>
      </w:r>
      <w:r w:rsidR="00126FE5">
        <w:rPr>
          <w:lang w:val="en-US"/>
        </w:rPr>
        <w:t xml:space="preserve"> only in a theoretical level. However, the first </w:t>
      </w:r>
      <w:r w:rsidR="007E0139" w:rsidRPr="00A44748">
        <w:rPr>
          <w:lang w:val="en-US"/>
        </w:rPr>
        <w:t xml:space="preserve">empirical </w:t>
      </w:r>
      <w:r w:rsidR="00126FE5" w:rsidRPr="00A44748">
        <w:rPr>
          <w:lang w:val="en-US"/>
        </w:rPr>
        <w:t>CV</w:t>
      </w:r>
      <w:r w:rsidR="000B703E" w:rsidRPr="00A44748">
        <w:rPr>
          <w:lang w:val="en-US"/>
        </w:rPr>
        <w:t xml:space="preserve"> survey</w:t>
      </w:r>
      <w:r w:rsidR="00126FE5" w:rsidRPr="00A44748">
        <w:rPr>
          <w:lang w:val="en-US"/>
        </w:rPr>
        <w:t xml:space="preserve"> </w:t>
      </w:r>
      <w:r w:rsidR="007E0139" w:rsidRPr="00A44748">
        <w:rPr>
          <w:lang w:val="en-US"/>
        </w:rPr>
        <w:t xml:space="preserve">started with </w:t>
      </w:r>
      <w:r w:rsidR="007E0139" w:rsidRPr="00CF62A8">
        <w:rPr>
          <w:lang w:val="en-US"/>
        </w:rPr>
        <w:t>Davis (1963)</w:t>
      </w:r>
      <w:r w:rsidR="007E0139" w:rsidRPr="00A44748">
        <w:rPr>
          <w:lang w:val="en-US"/>
        </w:rPr>
        <w:t xml:space="preserve"> who tried to estimate the benefits of goose</w:t>
      </w:r>
      <w:r w:rsidR="007E0139">
        <w:rPr>
          <w:lang w:val="en-US"/>
        </w:rPr>
        <w:t xml:space="preserve"> hunting through a</w:t>
      </w:r>
      <w:r w:rsidR="000B48B9">
        <w:rPr>
          <w:lang w:val="en-US"/>
        </w:rPr>
        <w:t xml:space="preserve"> survey among the goose hunters</w:t>
      </w:r>
      <w:r w:rsidR="001E1303">
        <w:rPr>
          <w:rStyle w:val="FootnoteReference"/>
          <w:lang w:val="en-US"/>
        </w:rPr>
        <w:footnoteReference w:id="5"/>
      </w:r>
      <w:r w:rsidR="00083064">
        <w:rPr>
          <w:lang w:val="en-US"/>
        </w:rPr>
        <w:t>. Its application in other areas in economics such as health economics (</w:t>
      </w:r>
      <w:r w:rsidR="00335A4C">
        <w:rPr>
          <w:lang w:val="en-US"/>
        </w:rPr>
        <w:t xml:space="preserve">e.g., </w:t>
      </w:r>
      <w:proofErr w:type="spellStart"/>
      <w:r w:rsidR="00FB1D54" w:rsidRPr="00CF62A8">
        <w:rPr>
          <w:lang w:val="en-US"/>
        </w:rPr>
        <w:t>Johannesson</w:t>
      </w:r>
      <w:proofErr w:type="spellEnd"/>
      <w:r w:rsidR="00FB1D54" w:rsidRPr="00CF62A8">
        <w:rPr>
          <w:lang w:val="en-US"/>
        </w:rPr>
        <w:t xml:space="preserve"> et al., 1991; </w:t>
      </w:r>
      <w:proofErr w:type="spellStart"/>
      <w:r w:rsidR="00FB1D54" w:rsidRPr="00CF62A8">
        <w:rPr>
          <w:lang w:val="en-US"/>
        </w:rPr>
        <w:t>Johannesson</w:t>
      </w:r>
      <w:proofErr w:type="spellEnd"/>
      <w:r w:rsidR="00FB1D54" w:rsidRPr="00CF62A8">
        <w:rPr>
          <w:lang w:val="en-US"/>
        </w:rPr>
        <w:t xml:space="preserve"> et al., 1993;</w:t>
      </w:r>
      <w:r w:rsidR="007D43C1" w:rsidRPr="00CF62A8">
        <w:rPr>
          <w:lang w:val="en-US"/>
        </w:rPr>
        <w:t xml:space="preserve"> Liu et al., 2000</w:t>
      </w:r>
      <w:r w:rsidR="00083064">
        <w:rPr>
          <w:lang w:val="en-US"/>
        </w:rPr>
        <w:t>), transportation safe</w:t>
      </w:r>
      <w:r w:rsidR="009F39A9">
        <w:rPr>
          <w:lang w:val="en-US"/>
        </w:rPr>
        <w:t>ty (</w:t>
      </w:r>
      <w:r w:rsidR="00335A4C">
        <w:rPr>
          <w:lang w:val="en-US"/>
        </w:rPr>
        <w:t xml:space="preserve">e.g., </w:t>
      </w:r>
      <w:r w:rsidR="0069237F" w:rsidRPr="00CF62A8">
        <w:rPr>
          <w:lang w:val="en-US"/>
        </w:rPr>
        <w:t>Persson et al., 2001</w:t>
      </w:r>
      <w:r w:rsidR="009F39A9">
        <w:rPr>
          <w:lang w:val="en-US"/>
        </w:rPr>
        <w:t>) and cultural economics (</w:t>
      </w:r>
      <w:r w:rsidR="00335A4C">
        <w:rPr>
          <w:lang w:val="en-US"/>
        </w:rPr>
        <w:t xml:space="preserve">e.g., </w:t>
      </w:r>
      <w:proofErr w:type="spellStart"/>
      <w:r w:rsidR="0069237F" w:rsidRPr="00CF62A8">
        <w:rPr>
          <w:lang w:val="en-US"/>
        </w:rPr>
        <w:t>Santagata</w:t>
      </w:r>
      <w:proofErr w:type="spellEnd"/>
      <w:r w:rsidR="0069237F" w:rsidRPr="00CF62A8">
        <w:rPr>
          <w:lang w:val="en-US"/>
        </w:rPr>
        <w:t xml:space="preserve"> and </w:t>
      </w:r>
      <w:proofErr w:type="spellStart"/>
      <w:r w:rsidR="00335A4C" w:rsidRPr="009122CF">
        <w:rPr>
          <w:lang w:val="en-US"/>
        </w:rPr>
        <w:t>Signorello</w:t>
      </w:r>
      <w:proofErr w:type="spellEnd"/>
      <w:r w:rsidR="00335A4C" w:rsidRPr="009122CF">
        <w:rPr>
          <w:lang w:val="en-US"/>
        </w:rPr>
        <w:t>, 2000</w:t>
      </w:r>
      <w:r w:rsidR="009F39A9">
        <w:rPr>
          <w:lang w:val="en-US"/>
        </w:rPr>
        <w:t>) was</w:t>
      </w:r>
      <w:r w:rsidR="00A8052B">
        <w:rPr>
          <w:lang w:val="en-US"/>
        </w:rPr>
        <w:t xml:space="preserve"> being</w:t>
      </w:r>
      <w:r w:rsidR="009F39A9">
        <w:rPr>
          <w:lang w:val="en-US"/>
        </w:rPr>
        <w:t xml:space="preserve"> increasingly developed. Except for these areas, </w:t>
      </w:r>
      <w:r w:rsidR="00623D20">
        <w:rPr>
          <w:lang w:val="en-US"/>
        </w:rPr>
        <w:t>it has made significant progress in the valuation of fo</w:t>
      </w:r>
      <w:r w:rsidR="00B87406">
        <w:rPr>
          <w:lang w:val="en-US"/>
        </w:rPr>
        <w:t xml:space="preserve">od safety and </w:t>
      </w:r>
      <w:r w:rsidR="00C73D26">
        <w:rPr>
          <w:lang w:val="en-US"/>
        </w:rPr>
        <w:t xml:space="preserve">food </w:t>
      </w:r>
      <w:r w:rsidR="00B87406">
        <w:rPr>
          <w:lang w:val="en-US"/>
        </w:rPr>
        <w:t>products</w:t>
      </w:r>
      <w:r w:rsidR="00335A4C">
        <w:rPr>
          <w:lang w:val="en-US"/>
        </w:rPr>
        <w:t xml:space="preserve"> on the last decades (e.g.,</w:t>
      </w:r>
      <w:r w:rsidR="004066FD">
        <w:rPr>
          <w:lang w:val="en-US"/>
        </w:rPr>
        <w:t xml:space="preserve"> </w:t>
      </w:r>
      <w:r w:rsidR="004066FD" w:rsidRPr="00CF62A8">
        <w:rPr>
          <w:lang w:val="en-US"/>
        </w:rPr>
        <w:lastRenderedPageBreak/>
        <w:t>Gil et al., 2000</w:t>
      </w:r>
      <w:r w:rsidR="00B87406">
        <w:rPr>
          <w:lang w:val="en-US"/>
        </w:rPr>
        <w:t>)</w:t>
      </w:r>
      <w:r w:rsidR="005C2BBA">
        <w:rPr>
          <w:lang w:val="en-US"/>
        </w:rPr>
        <w:t>.</w:t>
      </w:r>
      <w:r w:rsidR="00DC531C">
        <w:rPr>
          <w:lang w:val="en-US"/>
        </w:rPr>
        <w:t xml:space="preserve"> It is called ‘’contingent’’ valuation, since as people are asked to state their WTP, depended on a specific hypothetical scenario and descriptio</w:t>
      </w:r>
      <w:r w:rsidR="00093446">
        <w:rPr>
          <w:lang w:val="en-US"/>
        </w:rPr>
        <w:t>n of the environmental service</w:t>
      </w:r>
      <w:r w:rsidR="00DC531C">
        <w:rPr>
          <w:lang w:val="en-US"/>
        </w:rPr>
        <w:t xml:space="preserve">. </w:t>
      </w:r>
    </w:p>
    <w:p w14:paraId="2995F2D8" w14:textId="4480ECB2" w:rsidR="006C236F" w:rsidRDefault="00B26459" w:rsidP="00322533">
      <w:pPr>
        <w:jc w:val="both"/>
        <w:rPr>
          <w:lang w:val="en-US"/>
        </w:rPr>
      </w:pPr>
      <w:r>
        <w:rPr>
          <w:lang w:val="en-US"/>
        </w:rPr>
        <w:t>It is common that CV</w:t>
      </w:r>
      <w:r w:rsidR="00DC4DA9">
        <w:rPr>
          <w:lang w:val="en-US"/>
        </w:rPr>
        <w:t xml:space="preserve"> method</w:t>
      </w:r>
      <w:r>
        <w:rPr>
          <w:lang w:val="en-US"/>
        </w:rPr>
        <w:t xml:space="preserve"> can be applied for goods which are and are not traded in regular marketplaces.</w:t>
      </w:r>
      <w:r w:rsidR="000B2ED4">
        <w:rPr>
          <w:lang w:val="en-US"/>
        </w:rPr>
        <w:t xml:space="preserve"> In particular, </w:t>
      </w:r>
      <w:r w:rsidR="00541D2C">
        <w:rPr>
          <w:lang w:val="en-US"/>
        </w:rPr>
        <w:t>a</w:t>
      </w:r>
      <w:r w:rsidR="000B2ED4">
        <w:rPr>
          <w:lang w:val="en-US"/>
        </w:rPr>
        <w:t xml:space="preserve"> hypothetical valuation scenario is created in which respondents are </w:t>
      </w:r>
      <w:r w:rsidR="00E07D4D">
        <w:rPr>
          <w:lang w:val="en-US"/>
        </w:rPr>
        <w:t>asked</w:t>
      </w:r>
      <w:r w:rsidR="000B2ED4">
        <w:rPr>
          <w:lang w:val="en-US"/>
        </w:rPr>
        <w:t xml:space="preserve"> to state their</w:t>
      </w:r>
      <w:r w:rsidR="003419F9">
        <w:rPr>
          <w:lang w:val="en-US"/>
        </w:rPr>
        <w:t xml:space="preserve"> maximum</w:t>
      </w:r>
      <w:r w:rsidR="000B2ED4">
        <w:rPr>
          <w:lang w:val="en-US"/>
        </w:rPr>
        <w:t xml:space="preserve"> WTP for the product under valuation.</w:t>
      </w:r>
      <w:r w:rsidR="0034509B">
        <w:rPr>
          <w:lang w:val="en-US"/>
        </w:rPr>
        <w:t xml:space="preserve"> An important aspect on CV surveys is the</w:t>
      </w:r>
      <w:r w:rsidR="00D3552B">
        <w:rPr>
          <w:lang w:val="en-US"/>
        </w:rPr>
        <w:t xml:space="preserve"> choice</w:t>
      </w:r>
      <w:r w:rsidR="0034509B">
        <w:rPr>
          <w:lang w:val="en-US"/>
        </w:rPr>
        <w:t xml:space="preserve"> of </w:t>
      </w:r>
      <w:r w:rsidR="002A3817">
        <w:rPr>
          <w:lang w:val="en-US"/>
        </w:rPr>
        <w:t>payment vehicle</w:t>
      </w:r>
      <w:r w:rsidR="0034509B">
        <w:rPr>
          <w:lang w:val="en-US"/>
        </w:rPr>
        <w:t xml:space="preserve"> that is being </w:t>
      </w:r>
      <w:r w:rsidR="007F59E8">
        <w:rPr>
          <w:lang w:val="en-US"/>
        </w:rPr>
        <w:t>selected</w:t>
      </w:r>
      <w:r w:rsidR="00D3552B">
        <w:rPr>
          <w:lang w:val="en-US"/>
        </w:rPr>
        <w:t xml:space="preserve"> for the valuation question.</w:t>
      </w:r>
      <w:r w:rsidR="007F59E8">
        <w:rPr>
          <w:lang w:val="en-US"/>
        </w:rPr>
        <w:t xml:space="preserve"> There are many different question modes that can be used such as: </w:t>
      </w:r>
      <w:r w:rsidR="00DE5A4B">
        <w:rPr>
          <w:lang w:val="en-US"/>
        </w:rPr>
        <w:t>open-ended (OE), bidding games, payment card, choice experiments and single-bounded method.</w:t>
      </w:r>
      <w:r w:rsidR="002233BA">
        <w:rPr>
          <w:lang w:val="en-US"/>
        </w:rPr>
        <w:t xml:space="preserve"> Nevertheless, CVM</w:t>
      </w:r>
      <w:r w:rsidR="00EC7CCE">
        <w:rPr>
          <w:lang w:val="en-US"/>
        </w:rPr>
        <w:t xml:space="preserve"> is subject to severe criticism as economists have rai</w:t>
      </w:r>
      <w:r w:rsidR="0011312D">
        <w:rPr>
          <w:lang w:val="en-US"/>
        </w:rPr>
        <w:t>sed several types of objections.</w:t>
      </w:r>
      <w:r w:rsidR="00FF4D10">
        <w:rPr>
          <w:lang w:val="en-US"/>
        </w:rPr>
        <w:t xml:space="preserve"> A large number of studies </w:t>
      </w:r>
      <w:r w:rsidR="00A816CF">
        <w:rPr>
          <w:lang w:val="en-US"/>
        </w:rPr>
        <w:t>have shown that results from the CV method may seriously be sensitive in social desirability</w:t>
      </w:r>
      <w:r w:rsidR="00E73FD4">
        <w:rPr>
          <w:lang w:val="en-US"/>
        </w:rPr>
        <w:t xml:space="preserve"> bias (</w:t>
      </w:r>
      <w:r w:rsidR="00AD2920">
        <w:rPr>
          <w:lang w:val="en-US"/>
        </w:rPr>
        <w:t xml:space="preserve">hereinafter </w:t>
      </w:r>
      <w:r w:rsidR="00E73FD4">
        <w:rPr>
          <w:lang w:val="en-US"/>
        </w:rPr>
        <w:t>SDB)</w:t>
      </w:r>
      <w:r w:rsidR="00A816CF">
        <w:rPr>
          <w:lang w:val="en-US"/>
        </w:rPr>
        <w:t xml:space="preserve"> (e.g., </w:t>
      </w:r>
      <w:r w:rsidR="00A816CF" w:rsidRPr="00CF62A8">
        <w:rPr>
          <w:lang w:val="en-US"/>
        </w:rPr>
        <w:t>Phillips and Clancy, 1970, 1972</w:t>
      </w:r>
      <w:r w:rsidR="00A816CF">
        <w:rPr>
          <w:lang w:val="en-US"/>
        </w:rPr>
        <w:t>)</w:t>
      </w:r>
      <w:r w:rsidR="00E73FD4">
        <w:rPr>
          <w:lang w:val="en-US"/>
        </w:rPr>
        <w:t>. In fact, SDB is considered to be one of the most common sources of bias affecting the validity of experimental and survey research findings</w:t>
      </w:r>
      <w:r w:rsidR="00002A8D">
        <w:rPr>
          <w:lang w:val="en-US"/>
        </w:rPr>
        <w:t xml:space="preserve"> (</w:t>
      </w:r>
      <w:r w:rsidR="008230A7" w:rsidRPr="00CF62A8">
        <w:rPr>
          <w:lang w:val="en-US"/>
        </w:rPr>
        <w:t xml:space="preserve">Peltier and Wash, 1990; </w:t>
      </w:r>
      <w:proofErr w:type="spellStart"/>
      <w:r w:rsidR="008230A7" w:rsidRPr="00CF62A8">
        <w:rPr>
          <w:lang w:val="en-US"/>
        </w:rPr>
        <w:t>Paulhus</w:t>
      </w:r>
      <w:proofErr w:type="spellEnd"/>
      <w:r w:rsidR="008230A7" w:rsidRPr="00CF62A8">
        <w:rPr>
          <w:lang w:val="en-US"/>
        </w:rPr>
        <w:t>, 1991</w:t>
      </w:r>
      <w:r w:rsidR="008230A7">
        <w:rPr>
          <w:lang w:val="en-US"/>
        </w:rPr>
        <w:t>)</w:t>
      </w:r>
      <w:r w:rsidR="00E73FD4">
        <w:rPr>
          <w:lang w:val="en-US"/>
        </w:rPr>
        <w:t xml:space="preserve"> </w:t>
      </w:r>
      <w:r w:rsidR="00670010">
        <w:rPr>
          <w:lang w:val="en-US"/>
        </w:rPr>
        <w:t>and refers to the tendency of participants to give social desirable responses instead of selecting responses that reflect their true feelings</w:t>
      </w:r>
      <w:r w:rsidR="00596488">
        <w:rPr>
          <w:lang w:val="en-US"/>
        </w:rPr>
        <w:t>, placing the speaker in a favorable light</w:t>
      </w:r>
      <w:r w:rsidR="00670010">
        <w:rPr>
          <w:lang w:val="en-US"/>
        </w:rPr>
        <w:t xml:space="preserve"> (</w:t>
      </w:r>
      <w:r w:rsidR="00670010" w:rsidRPr="00CF62A8">
        <w:rPr>
          <w:lang w:val="en-US"/>
        </w:rPr>
        <w:t>Grimm, 2010</w:t>
      </w:r>
      <w:r w:rsidR="00670010">
        <w:rPr>
          <w:lang w:val="en-US"/>
        </w:rPr>
        <w:t>).</w:t>
      </w:r>
      <w:r w:rsidR="0018657D">
        <w:rPr>
          <w:lang w:val="en-US"/>
        </w:rPr>
        <w:t xml:space="preserve"> </w:t>
      </w:r>
      <w:r w:rsidR="00BE3C63">
        <w:rPr>
          <w:lang w:val="en-US"/>
        </w:rPr>
        <w:t xml:space="preserve">Among the methods that have developed of coping with social desirability </w:t>
      </w:r>
      <w:r w:rsidR="00650CE9">
        <w:rPr>
          <w:lang w:val="en-US"/>
        </w:rPr>
        <w:t>bias, the Inferred V</w:t>
      </w:r>
      <w:r w:rsidR="002941F6">
        <w:rPr>
          <w:lang w:val="en-US"/>
        </w:rPr>
        <w:t xml:space="preserve">aluation method (IV) addresses SDB by asking </w:t>
      </w:r>
      <w:r w:rsidR="00604E62">
        <w:rPr>
          <w:lang w:val="en-US"/>
        </w:rPr>
        <w:t>participants to state their views concerning the average consumers’ valuation for a good (</w:t>
      </w:r>
      <w:proofErr w:type="spellStart"/>
      <w:r w:rsidR="00604E62" w:rsidRPr="00CF62A8">
        <w:rPr>
          <w:lang w:val="en-US"/>
        </w:rPr>
        <w:t>Drichoutis</w:t>
      </w:r>
      <w:proofErr w:type="spellEnd"/>
      <w:r w:rsidR="00604E62" w:rsidRPr="00CF62A8">
        <w:rPr>
          <w:lang w:val="en-US"/>
        </w:rPr>
        <w:t xml:space="preserve"> et al., 2014</w:t>
      </w:r>
      <w:r w:rsidR="00604E62">
        <w:rPr>
          <w:lang w:val="en-US"/>
        </w:rPr>
        <w:t>).</w:t>
      </w:r>
      <w:r w:rsidR="00222A57">
        <w:rPr>
          <w:lang w:val="en-US"/>
        </w:rPr>
        <w:t xml:space="preserve"> </w:t>
      </w:r>
    </w:p>
    <w:p w14:paraId="69B8BE32" w14:textId="77777777" w:rsidR="00650CE9" w:rsidRDefault="00650CE9" w:rsidP="00322533">
      <w:pPr>
        <w:jc w:val="both"/>
        <w:rPr>
          <w:lang w:val="en-US"/>
        </w:rPr>
      </w:pPr>
      <w:r w:rsidRPr="00CF62A8">
        <w:rPr>
          <w:lang w:val="en-US"/>
        </w:rPr>
        <w:t>Lusk and Norwood (</w:t>
      </w:r>
      <w:r w:rsidR="00E96147" w:rsidRPr="00CF62A8">
        <w:rPr>
          <w:lang w:val="en-US"/>
        </w:rPr>
        <w:t>2009</w:t>
      </w:r>
      <w:r w:rsidRPr="00CF62A8">
        <w:rPr>
          <w:lang w:val="en-US"/>
        </w:rPr>
        <w:t>)</w:t>
      </w:r>
      <w:r>
        <w:rPr>
          <w:lang w:val="en-US"/>
        </w:rPr>
        <w:t xml:space="preserve">, noted that </w:t>
      </w:r>
      <w:r w:rsidR="0074220A">
        <w:rPr>
          <w:lang w:val="en-US"/>
        </w:rPr>
        <w:t>the IV method creates valuations that are less likely to suffer from</w:t>
      </w:r>
      <w:r w:rsidR="00B0706A">
        <w:rPr>
          <w:lang w:val="en-US"/>
        </w:rPr>
        <w:t xml:space="preserve"> biases such as</w:t>
      </w:r>
      <w:r w:rsidR="0074220A">
        <w:rPr>
          <w:lang w:val="en-US"/>
        </w:rPr>
        <w:t xml:space="preserve"> SDB. Also, the</w:t>
      </w:r>
      <w:r w:rsidR="00DC1946">
        <w:rPr>
          <w:lang w:val="en-US"/>
        </w:rPr>
        <w:t>y</w:t>
      </w:r>
      <w:r w:rsidR="0074220A">
        <w:rPr>
          <w:lang w:val="en-US"/>
        </w:rPr>
        <w:t xml:space="preserve"> found that </w:t>
      </w:r>
      <w:r w:rsidR="00DC1946">
        <w:rPr>
          <w:lang w:val="en-US"/>
        </w:rPr>
        <w:t>responses based on IV method predicted consumers’ actual</w:t>
      </w:r>
      <w:r w:rsidR="00146D37">
        <w:rPr>
          <w:lang w:val="en-US"/>
        </w:rPr>
        <w:t xml:space="preserve"> shopping</w:t>
      </w:r>
      <w:r w:rsidR="00DC1946">
        <w:rPr>
          <w:lang w:val="en-US"/>
        </w:rPr>
        <w:t xml:space="preserve"> behavior much better </w:t>
      </w:r>
      <w:r w:rsidR="00146D37">
        <w:rPr>
          <w:lang w:val="en-US"/>
        </w:rPr>
        <w:t xml:space="preserve">than </w:t>
      </w:r>
      <w:r w:rsidR="00DC1946">
        <w:rPr>
          <w:lang w:val="en-US"/>
        </w:rPr>
        <w:t>CV method</w:t>
      </w:r>
      <w:r w:rsidR="00146D37">
        <w:rPr>
          <w:lang w:val="en-US"/>
        </w:rPr>
        <w:t xml:space="preserve"> did</w:t>
      </w:r>
      <w:r w:rsidR="00DC1946">
        <w:rPr>
          <w:lang w:val="en-US"/>
        </w:rPr>
        <w:t>.</w:t>
      </w:r>
      <w:r w:rsidR="00DC1063">
        <w:rPr>
          <w:lang w:val="en-US"/>
        </w:rPr>
        <w:t xml:space="preserve"> The authors</w:t>
      </w:r>
      <w:r w:rsidR="00E96147">
        <w:rPr>
          <w:lang w:val="en-US"/>
        </w:rPr>
        <w:t xml:space="preserve"> proved that when social desirability was appeared, the IV method generated less hypothetical bias.</w:t>
      </w:r>
      <w:r w:rsidR="00DC1063">
        <w:rPr>
          <w:lang w:val="en-US"/>
        </w:rPr>
        <w:t xml:space="preserve"> Moreover, they </w:t>
      </w:r>
      <w:r w:rsidR="00EE1BE8">
        <w:rPr>
          <w:lang w:val="en-US"/>
        </w:rPr>
        <w:t xml:space="preserve">observed that goods with normative dimensions are more acceptable to SDB. Therefore, the IV method is more effective to fill the gap between the </w:t>
      </w:r>
      <w:r w:rsidR="00737672">
        <w:rPr>
          <w:lang w:val="en-US"/>
        </w:rPr>
        <w:t>laboratory and field valuations</w:t>
      </w:r>
      <w:r w:rsidR="005F6434">
        <w:rPr>
          <w:lang w:val="en-US"/>
        </w:rPr>
        <w:t xml:space="preserve"> (</w:t>
      </w:r>
      <w:proofErr w:type="spellStart"/>
      <w:r w:rsidR="005F6434" w:rsidRPr="00CF62A8">
        <w:rPr>
          <w:lang w:val="en-US"/>
        </w:rPr>
        <w:t>Drichoutis</w:t>
      </w:r>
      <w:proofErr w:type="spellEnd"/>
      <w:r w:rsidR="005F6434" w:rsidRPr="00CF62A8">
        <w:rPr>
          <w:lang w:val="en-US"/>
        </w:rPr>
        <w:t xml:space="preserve"> et al., 2014</w:t>
      </w:r>
      <w:r w:rsidR="005F6434">
        <w:rPr>
          <w:lang w:val="en-US"/>
        </w:rPr>
        <w:t>).</w:t>
      </w:r>
    </w:p>
    <w:p w14:paraId="70D211F9" w14:textId="21053CD0" w:rsidR="00262D70" w:rsidRDefault="00262D70" w:rsidP="00322533">
      <w:pPr>
        <w:jc w:val="both"/>
        <w:rPr>
          <w:lang w:val="en-US"/>
        </w:rPr>
      </w:pPr>
      <w:r w:rsidRPr="00C025AE">
        <w:rPr>
          <w:lang w:val="en-US"/>
        </w:rPr>
        <w:t xml:space="preserve">The Dichotomous Choice </w:t>
      </w:r>
      <w:r w:rsidR="00891467" w:rsidRPr="00C025AE">
        <w:rPr>
          <w:lang w:val="en-US"/>
        </w:rPr>
        <w:t xml:space="preserve">(DC) </w:t>
      </w:r>
      <w:r w:rsidR="00224E36" w:rsidRPr="00C025AE">
        <w:rPr>
          <w:lang w:val="en-US"/>
        </w:rPr>
        <w:t>format</w:t>
      </w:r>
      <w:r w:rsidR="00EA3F5A" w:rsidRPr="00C025AE">
        <w:rPr>
          <w:lang w:val="en-US"/>
        </w:rPr>
        <w:t xml:space="preserve"> (also known as take-it-or-leave-it, closed-ended or referendum)</w:t>
      </w:r>
      <w:r w:rsidRPr="00C025AE">
        <w:rPr>
          <w:lang w:val="en-US"/>
        </w:rPr>
        <w:t xml:space="preserve"> was initially </w:t>
      </w:r>
      <w:r w:rsidR="00AA54F2" w:rsidRPr="00C025AE">
        <w:rPr>
          <w:lang w:val="en-US"/>
        </w:rPr>
        <w:t>used</w:t>
      </w:r>
      <w:r w:rsidRPr="00C025AE">
        <w:rPr>
          <w:lang w:val="en-US"/>
        </w:rPr>
        <w:t xml:space="preserve"> by </w:t>
      </w:r>
      <w:r w:rsidRPr="00CF62A8">
        <w:rPr>
          <w:lang w:val="en-US"/>
        </w:rPr>
        <w:t xml:space="preserve">Bishop and </w:t>
      </w:r>
      <w:proofErr w:type="spellStart"/>
      <w:r w:rsidRPr="00CF62A8">
        <w:rPr>
          <w:lang w:val="en-US"/>
        </w:rPr>
        <w:t>Heberlein</w:t>
      </w:r>
      <w:proofErr w:type="spellEnd"/>
      <w:r w:rsidRPr="00CF62A8">
        <w:rPr>
          <w:lang w:val="en-US"/>
        </w:rPr>
        <w:t xml:space="preserve"> (1979)</w:t>
      </w:r>
      <w:r w:rsidRPr="00C025AE">
        <w:rPr>
          <w:lang w:val="en-US"/>
        </w:rPr>
        <w:t xml:space="preserve">, while </w:t>
      </w:r>
      <w:proofErr w:type="spellStart"/>
      <w:r w:rsidRPr="00CF62A8">
        <w:rPr>
          <w:lang w:val="en-US"/>
        </w:rPr>
        <w:t>Hanemann</w:t>
      </w:r>
      <w:proofErr w:type="spellEnd"/>
      <w:r w:rsidRPr="00CF62A8">
        <w:rPr>
          <w:lang w:val="en-US"/>
        </w:rPr>
        <w:t xml:space="preserve"> (1984)</w:t>
      </w:r>
      <w:r w:rsidRPr="00C025AE">
        <w:rPr>
          <w:lang w:val="en-US"/>
        </w:rPr>
        <w:t xml:space="preserve"> developed the </w:t>
      </w:r>
      <w:r w:rsidR="00B77027" w:rsidRPr="00C025AE">
        <w:rPr>
          <w:lang w:val="en-US"/>
        </w:rPr>
        <w:t>conceptual and theoretical arguments in order to use this method to estimate welfare benefits</w:t>
      </w:r>
      <w:r w:rsidR="00EA3F5A" w:rsidRPr="00C025AE">
        <w:rPr>
          <w:lang w:val="en-US"/>
        </w:rPr>
        <w:t xml:space="preserve"> </w:t>
      </w:r>
      <w:r w:rsidR="00FA3334" w:rsidRPr="00C025AE">
        <w:rPr>
          <w:lang w:val="en-US"/>
        </w:rPr>
        <w:t>(</w:t>
      </w:r>
      <w:r w:rsidR="00FA3334" w:rsidRPr="00CF62A8">
        <w:rPr>
          <w:lang w:val="en-US"/>
        </w:rPr>
        <w:t>Ryan et al., 2004</w:t>
      </w:r>
      <w:r w:rsidR="00FA3334" w:rsidRPr="00C025AE">
        <w:rPr>
          <w:lang w:val="en-US"/>
        </w:rPr>
        <w:t>). Since the panel of National Oceanographic and</w:t>
      </w:r>
      <w:r w:rsidR="00FA3334" w:rsidRPr="00FA3334">
        <w:rPr>
          <w:lang w:val="en-US"/>
        </w:rPr>
        <w:t xml:space="preserve"> Atmospheric Administration (NOOA) criticized the open-ended method as causing unstable and biased answers (</w:t>
      </w:r>
      <w:r w:rsidR="00FA3334" w:rsidRPr="00CF62A8">
        <w:rPr>
          <w:lang w:val="en-US"/>
        </w:rPr>
        <w:t>Arrow et al., 1993</w:t>
      </w:r>
      <w:r w:rsidR="00FA3334" w:rsidRPr="00FA3334">
        <w:rPr>
          <w:lang w:val="en-US"/>
        </w:rPr>
        <w:t xml:space="preserve">), </w:t>
      </w:r>
      <w:r w:rsidR="00FA3334">
        <w:rPr>
          <w:lang w:val="en-US"/>
        </w:rPr>
        <w:t>t</w:t>
      </w:r>
      <w:r w:rsidR="00224E36">
        <w:rPr>
          <w:lang w:val="en-US"/>
        </w:rPr>
        <w:t xml:space="preserve">he DC approach gained remarkable acceptance </w:t>
      </w:r>
      <w:r w:rsidR="00263CAE">
        <w:rPr>
          <w:lang w:val="en-US"/>
        </w:rPr>
        <w:t xml:space="preserve">due to </w:t>
      </w:r>
      <w:r w:rsidR="00224E36">
        <w:rPr>
          <w:lang w:val="en-US"/>
        </w:rPr>
        <w:t xml:space="preserve">its </w:t>
      </w:r>
      <w:r w:rsidR="001C36E5">
        <w:rPr>
          <w:lang w:val="en-US"/>
        </w:rPr>
        <w:t xml:space="preserve">substantial </w:t>
      </w:r>
      <w:r w:rsidR="00263CAE">
        <w:rPr>
          <w:lang w:val="en-US"/>
        </w:rPr>
        <w:t>simplicity of use in data collection</w:t>
      </w:r>
      <w:r w:rsidR="009F5898">
        <w:rPr>
          <w:lang w:val="en-US"/>
        </w:rPr>
        <w:t xml:space="preserve"> and Incentive Compatibility (IC)</w:t>
      </w:r>
      <w:r w:rsidR="00263CAE">
        <w:rPr>
          <w:lang w:val="en-US"/>
        </w:rPr>
        <w:t>.</w:t>
      </w:r>
      <w:r w:rsidR="000D551E">
        <w:rPr>
          <w:lang w:val="en-US"/>
        </w:rPr>
        <w:t xml:space="preserve"> </w:t>
      </w:r>
      <w:r w:rsidR="00280634">
        <w:rPr>
          <w:lang w:val="en-US"/>
        </w:rPr>
        <w:t>Strategies that used by respondents have</w:t>
      </w:r>
      <w:r w:rsidR="00E6440A">
        <w:rPr>
          <w:lang w:val="en-US"/>
        </w:rPr>
        <w:t xml:space="preserve"> long been seen as a problem in public economics. In particular, </w:t>
      </w:r>
      <w:r w:rsidR="00E6440A" w:rsidRPr="00CF62A8">
        <w:rPr>
          <w:lang w:val="en-US"/>
        </w:rPr>
        <w:t>Samuelson (1954)</w:t>
      </w:r>
      <w:r w:rsidR="00E6440A">
        <w:rPr>
          <w:lang w:val="en-US"/>
        </w:rPr>
        <w:t xml:space="preserve"> argued ‘</w:t>
      </w:r>
      <w:r w:rsidR="00E6440A" w:rsidRPr="00E6440A">
        <w:rPr>
          <w:i/>
          <w:lang w:val="en-US"/>
        </w:rPr>
        <w:t>’It is in the selfish interest of each person to give false signals</w:t>
      </w:r>
      <w:r w:rsidR="00280634">
        <w:rPr>
          <w:i/>
          <w:lang w:val="en-US"/>
        </w:rPr>
        <w:t>,</w:t>
      </w:r>
      <w:r w:rsidR="00E6440A" w:rsidRPr="00E6440A">
        <w:rPr>
          <w:i/>
          <w:lang w:val="en-US"/>
        </w:rPr>
        <w:t xml:space="preserve"> to pretend to have less interest in a given collective activity than he really has</w:t>
      </w:r>
      <w:r w:rsidR="00E6440A">
        <w:rPr>
          <w:lang w:val="en-US"/>
        </w:rPr>
        <w:t>’’.</w:t>
      </w:r>
      <w:r w:rsidR="002D6D69">
        <w:rPr>
          <w:lang w:val="en-US"/>
        </w:rPr>
        <w:t xml:space="preserve"> </w:t>
      </w:r>
      <w:r w:rsidR="00DF5D24">
        <w:rPr>
          <w:lang w:val="en-US"/>
        </w:rPr>
        <w:t xml:space="preserve">Incentive Compatibility can only be proposed for goods in cases that the binary choice is between two different forms </w:t>
      </w:r>
      <w:r w:rsidR="00AC014E">
        <w:rPr>
          <w:lang w:val="en-US"/>
        </w:rPr>
        <w:t>of the under valuation good. Thus, such these choice designs led to a valuation question that present</w:t>
      </w:r>
      <w:r w:rsidR="002B510E">
        <w:rPr>
          <w:lang w:val="en-US"/>
        </w:rPr>
        <w:t>s</w:t>
      </w:r>
      <w:r w:rsidR="00AC014E">
        <w:rPr>
          <w:lang w:val="en-US"/>
        </w:rPr>
        <w:t xml:space="preserve"> a change in the good (</w:t>
      </w:r>
      <w:r w:rsidR="00AC014E" w:rsidRPr="00C872F3">
        <w:rPr>
          <w:lang w:val="en-US"/>
        </w:rPr>
        <w:t>Carson and Groves, 2007</w:t>
      </w:r>
      <w:r w:rsidR="00AC014E">
        <w:rPr>
          <w:lang w:val="en-US"/>
        </w:rPr>
        <w:t>).</w:t>
      </w:r>
      <w:r w:rsidR="00604DBD">
        <w:rPr>
          <w:lang w:val="en-US"/>
        </w:rPr>
        <w:t xml:space="preserve"> </w:t>
      </w:r>
      <w:r w:rsidR="00AC703F">
        <w:rPr>
          <w:lang w:val="en-US"/>
        </w:rPr>
        <w:t>Also, a</w:t>
      </w:r>
      <w:r w:rsidR="007D5F72">
        <w:rPr>
          <w:lang w:val="en-US"/>
        </w:rPr>
        <w:t xml:space="preserve">ny response format that has at least three possible outcomes is subject to </w:t>
      </w:r>
      <w:r w:rsidR="00C33795">
        <w:rPr>
          <w:lang w:val="en-US"/>
        </w:rPr>
        <w:t>individual manipulation (</w:t>
      </w:r>
      <w:proofErr w:type="spellStart"/>
      <w:r w:rsidR="00C33795" w:rsidRPr="00CF62A8">
        <w:rPr>
          <w:lang w:val="en-US"/>
        </w:rPr>
        <w:t>Drichoutis</w:t>
      </w:r>
      <w:proofErr w:type="spellEnd"/>
      <w:r w:rsidR="00C33795" w:rsidRPr="00CF62A8">
        <w:rPr>
          <w:lang w:val="en-US"/>
        </w:rPr>
        <w:t xml:space="preserve"> et al., 2014</w:t>
      </w:r>
      <w:r w:rsidR="00C33795">
        <w:rPr>
          <w:lang w:val="en-US"/>
        </w:rPr>
        <w:t xml:space="preserve">). </w:t>
      </w:r>
    </w:p>
    <w:p w14:paraId="373B5875" w14:textId="77777777" w:rsidR="00650CE9" w:rsidRDefault="00F8056D" w:rsidP="00322533">
      <w:pPr>
        <w:jc w:val="both"/>
        <w:rPr>
          <w:lang w:val="en-US"/>
        </w:rPr>
      </w:pPr>
      <w:r>
        <w:rPr>
          <w:lang w:val="en-US"/>
        </w:rPr>
        <w:t xml:space="preserve">There is strong evidence which proves that CV technique frequently overstates real economic value. </w:t>
      </w:r>
      <w:r w:rsidRPr="00F8056D">
        <w:rPr>
          <w:lang w:val="en-US"/>
        </w:rPr>
        <w:t>Much of the literature compares hypothetical and actual values from several CV studies.</w:t>
      </w:r>
      <w:r>
        <w:rPr>
          <w:lang w:val="en-US"/>
        </w:rPr>
        <w:t xml:space="preserve"> </w:t>
      </w:r>
      <w:r w:rsidR="00D20637">
        <w:rPr>
          <w:lang w:val="en-US"/>
        </w:rPr>
        <w:t xml:space="preserve">Hypothetical bias refers to a significant difference between response to real and hypothetical valuation questions. </w:t>
      </w:r>
      <w:r>
        <w:rPr>
          <w:lang w:val="en-US"/>
        </w:rPr>
        <w:t xml:space="preserve">This situation has motivated research in order to develop methods that whether eliminate or adjust hypothetical bias. The ‘’cheap talk method’’ </w:t>
      </w:r>
      <w:r w:rsidR="00EF028C">
        <w:rPr>
          <w:lang w:val="en-US"/>
        </w:rPr>
        <w:t xml:space="preserve">was </w:t>
      </w:r>
      <w:r w:rsidR="00EF028C">
        <w:rPr>
          <w:lang w:val="en-US"/>
        </w:rPr>
        <w:lastRenderedPageBreak/>
        <w:t xml:space="preserve">initially recommended by </w:t>
      </w:r>
      <w:r w:rsidR="00EF028C" w:rsidRPr="00CF62A8">
        <w:rPr>
          <w:lang w:val="en-US"/>
        </w:rPr>
        <w:t>Cummings and Taylor (1999)</w:t>
      </w:r>
      <w:r w:rsidR="00EF028C">
        <w:rPr>
          <w:lang w:val="en-US"/>
        </w:rPr>
        <w:t>. They made an attempt to decrease the hypothetical bias by completely describing and discussing the tendency of participants to exaggerate stated WTP.</w:t>
      </w:r>
      <w:r w:rsidR="00B5351E">
        <w:rPr>
          <w:lang w:val="en-US"/>
        </w:rPr>
        <w:t xml:space="preserve"> The use of cheap talk proved to be potentially effective as well as decreasing the mean WTP in several studies (</w:t>
      </w:r>
      <w:r w:rsidR="00711757">
        <w:rPr>
          <w:lang w:val="en-US"/>
        </w:rPr>
        <w:t xml:space="preserve">e.g., </w:t>
      </w:r>
      <w:r w:rsidR="00B5351E" w:rsidRPr="00CF62A8">
        <w:rPr>
          <w:lang w:val="en-US"/>
        </w:rPr>
        <w:t xml:space="preserve">Cummings and Taylor, 1999; List, 2001; List et al., 2006; </w:t>
      </w:r>
      <w:proofErr w:type="spellStart"/>
      <w:r w:rsidR="00B5351E" w:rsidRPr="00CF62A8">
        <w:rPr>
          <w:lang w:val="en-US"/>
        </w:rPr>
        <w:t>Aadland</w:t>
      </w:r>
      <w:proofErr w:type="spellEnd"/>
      <w:r w:rsidR="00B5351E" w:rsidRPr="00CF62A8">
        <w:rPr>
          <w:lang w:val="en-US"/>
        </w:rPr>
        <w:t xml:space="preserve"> and C</w:t>
      </w:r>
      <w:r w:rsidR="00711757" w:rsidRPr="009122CF">
        <w:rPr>
          <w:lang w:val="en-US"/>
        </w:rPr>
        <w:t>aplan, 2003</w:t>
      </w:r>
      <w:r w:rsidR="00B5351E" w:rsidRPr="009122CF">
        <w:rPr>
          <w:lang w:val="en-US"/>
        </w:rPr>
        <w:t xml:space="preserve">; </w:t>
      </w:r>
      <w:proofErr w:type="spellStart"/>
      <w:r w:rsidR="00B5351E" w:rsidRPr="009122CF">
        <w:rPr>
          <w:lang w:val="en-US"/>
        </w:rPr>
        <w:t>Bulte</w:t>
      </w:r>
      <w:proofErr w:type="spellEnd"/>
      <w:r w:rsidR="00B5351E" w:rsidRPr="009122CF">
        <w:rPr>
          <w:lang w:val="en-US"/>
        </w:rPr>
        <w:t xml:space="preserve"> et al. 2005</w:t>
      </w:r>
      <w:r w:rsidR="00711757" w:rsidRPr="009122CF">
        <w:rPr>
          <w:lang w:val="en-US"/>
        </w:rPr>
        <w:t>; Landry and List, 2007</w:t>
      </w:r>
      <w:r w:rsidR="00711757">
        <w:rPr>
          <w:lang w:val="en-US"/>
        </w:rPr>
        <w:t>)</w:t>
      </w:r>
      <w:r w:rsidR="00246BEE">
        <w:rPr>
          <w:lang w:val="en-US"/>
        </w:rPr>
        <w:t>.</w:t>
      </w:r>
      <w:r w:rsidR="00E17CA9">
        <w:rPr>
          <w:lang w:val="en-US"/>
        </w:rPr>
        <w:t xml:space="preserve"> Its simplicity makes it an attractive approach in lowering hypothetical bias (</w:t>
      </w:r>
      <w:r w:rsidR="00E17CA9" w:rsidRPr="00CF62A8">
        <w:rPr>
          <w:lang w:val="en-US"/>
        </w:rPr>
        <w:t>Murphy et al., 2005</w:t>
      </w:r>
      <w:r w:rsidR="00E17CA9">
        <w:rPr>
          <w:lang w:val="en-US"/>
        </w:rPr>
        <w:t>).</w:t>
      </w:r>
      <w:r w:rsidR="002D1F0F">
        <w:rPr>
          <w:lang w:val="en-US"/>
        </w:rPr>
        <w:t xml:space="preserve"> </w:t>
      </w:r>
      <w:r w:rsidR="001259F3">
        <w:rPr>
          <w:lang w:val="en-US"/>
        </w:rPr>
        <w:t>Nevertheless</w:t>
      </w:r>
      <w:r w:rsidR="002D1F0F">
        <w:rPr>
          <w:lang w:val="en-US"/>
        </w:rPr>
        <w:t xml:space="preserve">, in other studies it has not been effective (e.g., </w:t>
      </w:r>
      <w:r w:rsidR="0061197D" w:rsidRPr="00CF62A8">
        <w:rPr>
          <w:lang w:val="en-US"/>
        </w:rPr>
        <w:t>Brummett</w:t>
      </w:r>
      <w:r w:rsidR="002D1F0F" w:rsidRPr="00CF62A8">
        <w:rPr>
          <w:lang w:val="en-US"/>
        </w:rPr>
        <w:t xml:space="preserve"> et al., 2007; </w:t>
      </w:r>
      <w:proofErr w:type="spellStart"/>
      <w:r w:rsidR="002D1F0F" w:rsidRPr="00CF62A8">
        <w:rPr>
          <w:lang w:val="en-US"/>
        </w:rPr>
        <w:t>Loureiro</w:t>
      </w:r>
      <w:proofErr w:type="spellEnd"/>
      <w:r w:rsidR="002D1F0F" w:rsidRPr="00CF62A8">
        <w:rPr>
          <w:lang w:val="en-US"/>
        </w:rPr>
        <w:t xml:space="preserve"> et al., 20</w:t>
      </w:r>
      <w:r w:rsidR="00067E63" w:rsidRPr="009122CF">
        <w:rPr>
          <w:lang w:val="en-US"/>
        </w:rPr>
        <w:t>09</w:t>
      </w:r>
      <w:r w:rsidR="002D1F0F">
        <w:rPr>
          <w:lang w:val="en-US"/>
        </w:rPr>
        <w:t>).</w:t>
      </w:r>
      <w:r w:rsidR="001259F3">
        <w:rPr>
          <w:lang w:val="en-US"/>
        </w:rPr>
        <w:t xml:space="preserve"> Furthermore, the hypothetical WTP with cheap talk </w:t>
      </w:r>
      <w:r w:rsidR="002A3013">
        <w:rPr>
          <w:lang w:val="en-US"/>
        </w:rPr>
        <w:t>script could not be proved to be statistically significantly dissimilar from the real WTP (</w:t>
      </w:r>
      <w:r w:rsidR="002A3013" w:rsidRPr="00CF62A8">
        <w:rPr>
          <w:lang w:val="en-US"/>
        </w:rPr>
        <w:t>Carlsson et al., 2005</w:t>
      </w:r>
      <w:r w:rsidR="002A3013">
        <w:rPr>
          <w:lang w:val="en-US"/>
        </w:rPr>
        <w:t>).</w:t>
      </w:r>
      <w:r w:rsidR="00CE6AEE">
        <w:rPr>
          <w:lang w:val="en-US"/>
        </w:rPr>
        <w:t xml:space="preserve"> Empirical findings </w:t>
      </w:r>
      <w:r w:rsidR="00B45AE4">
        <w:rPr>
          <w:lang w:val="en-US"/>
        </w:rPr>
        <w:t>revealed</w:t>
      </w:r>
      <w:r w:rsidR="00CE6AEE">
        <w:rPr>
          <w:lang w:val="en-US"/>
        </w:rPr>
        <w:t xml:space="preserve"> that participants in CV surveys give answers which are inconsistent with the tenets of rational choice as well as they</w:t>
      </w:r>
      <w:r w:rsidR="00B45AE4">
        <w:rPr>
          <w:lang w:val="en-US"/>
        </w:rPr>
        <w:t xml:space="preserve"> might</w:t>
      </w:r>
      <w:r w:rsidR="00CE6AEE">
        <w:rPr>
          <w:lang w:val="en-US"/>
        </w:rPr>
        <w:t xml:space="preserve"> </w:t>
      </w:r>
      <w:r w:rsidR="00B45AE4">
        <w:rPr>
          <w:lang w:val="en-US"/>
        </w:rPr>
        <w:t xml:space="preserve">underestimate or overestimate their paying </w:t>
      </w:r>
      <w:r w:rsidR="00BD528D">
        <w:rPr>
          <w:lang w:val="en-US"/>
        </w:rPr>
        <w:t>ability for</w:t>
      </w:r>
      <w:r w:rsidR="00B45AE4">
        <w:rPr>
          <w:lang w:val="en-US"/>
        </w:rPr>
        <w:t xml:space="preserve"> a variety of reasons</w:t>
      </w:r>
      <w:r w:rsidR="00BD528D">
        <w:rPr>
          <w:lang w:val="en-US"/>
        </w:rPr>
        <w:t xml:space="preserve"> (e.g. the surveys’ results are not binding)</w:t>
      </w:r>
      <w:r w:rsidR="009427B6">
        <w:rPr>
          <w:lang w:val="en-US"/>
        </w:rPr>
        <w:t>.</w:t>
      </w:r>
      <w:r w:rsidR="00B45AE4">
        <w:rPr>
          <w:lang w:val="en-US"/>
        </w:rPr>
        <w:t xml:space="preserve"> </w:t>
      </w:r>
      <w:r w:rsidR="0061434E" w:rsidRPr="00CF62A8">
        <w:rPr>
          <w:lang w:val="en-US"/>
        </w:rPr>
        <w:t>Carson and Groves (2007)</w:t>
      </w:r>
      <w:r w:rsidR="0061434E">
        <w:rPr>
          <w:lang w:val="en-US"/>
        </w:rPr>
        <w:t xml:space="preserve"> argued that a hypothetical survey might bring in more than hypothetical responses in case that the survey is perceived by respondents to be consequential.</w:t>
      </w:r>
      <w:r w:rsidR="00322493">
        <w:rPr>
          <w:lang w:val="en-US"/>
        </w:rPr>
        <w:t xml:space="preserve"> In consequentiality scripts, survey participants are clearly told that their responses to </w:t>
      </w:r>
      <w:r w:rsidR="00BF499F">
        <w:rPr>
          <w:lang w:val="en-US"/>
        </w:rPr>
        <w:t>preference questions will influence</w:t>
      </w:r>
      <w:r w:rsidR="00322493">
        <w:rPr>
          <w:lang w:val="en-US"/>
        </w:rPr>
        <w:t xml:space="preserve"> competent authorities’ decisions regarding the public good </w:t>
      </w:r>
      <w:r w:rsidR="00BF499F">
        <w:rPr>
          <w:lang w:val="en-US"/>
        </w:rPr>
        <w:t>under valuation</w:t>
      </w:r>
      <w:r w:rsidR="00322493">
        <w:rPr>
          <w:lang w:val="en-US"/>
        </w:rPr>
        <w:t>. Therefore</w:t>
      </w:r>
      <w:r w:rsidR="00BF499F">
        <w:rPr>
          <w:lang w:val="en-US"/>
        </w:rPr>
        <w:t>,</w:t>
      </w:r>
      <w:r w:rsidR="00322493">
        <w:rPr>
          <w:lang w:val="en-US"/>
        </w:rPr>
        <w:t xml:space="preserve"> the respondents’ answers represent a revealed economic behavior. </w:t>
      </w:r>
      <w:r w:rsidR="00FC377F">
        <w:rPr>
          <w:lang w:val="en-US"/>
        </w:rPr>
        <w:t xml:space="preserve">In their study, </w:t>
      </w:r>
      <w:proofErr w:type="spellStart"/>
      <w:r w:rsidR="00FC377F" w:rsidRPr="00CF62A8">
        <w:rPr>
          <w:lang w:val="en-US"/>
        </w:rPr>
        <w:t>Vossler</w:t>
      </w:r>
      <w:proofErr w:type="spellEnd"/>
      <w:r w:rsidR="00FC377F" w:rsidRPr="00CF62A8">
        <w:rPr>
          <w:lang w:val="en-US"/>
        </w:rPr>
        <w:t xml:space="preserve"> and Watson (2013)</w:t>
      </w:r>
      <w:r w:rsidR="00FC377F">
        <w:rPr>
          <w:lang w:val="en-US"/>
        </w:rPr>
        <w:t xml:space="preserve"> showed that the participants who believed that results of the survey would not be considered by policy makers were less expected to vote a desired program. </w:t>
      </w:r>
      <w:r w:rsidR="00E15227">
        <w:rPr>
          <w:lang w:val="en-US"/>
        </w:rPr>
        <w:t xml:space="preserve">In a CV study of a private good with and without a fair labor label, </w:t>
      </w:r>
      <w:proofErr w:type="spellStart"/>
      <w:r w:rsidR="00E15227" w:rsidRPr="00CF62A8">
        <w:rPr>
          <w:lang w:val="en-US"/>
        </w:rPr>
        <w:t>Drichoutis</w:t>
      </w:r>
      <w:proofErr w:type="spellEnd"/>
      <w:r w:rsidR="00E15227" w:rsidRPr="00CF62A8">
        <w:rPr>
          <w:lang w:val="en-US"/>
        </w:rPr>
        <w:t xml:space="preserve"> et al. (2014)</w:t>
      </w:r>
      <w:r w:rsidR="00E15227">
        <w:rPr>
          <w:lang w:val="en-US"/>
        </w:rPr>
        <w:t xml:space="preserve"> found that their consequentiality</w:t>
      </w:r>
      <w:r w:rsidR="00553833">
        <w:rPr>
          <w:lang w:val="en-US"/>
        </w:rPr>
        <w:t xml:space="preserve"> and cheap talk</w:t>
      </w:r>
      <w:r w:rsidR="00E15227">
        <w:rPr>
          <w:lang w:val="en-US"/>
        </w:rPr>
        <w:t xml:space="preserve"> script had not any effect </w:t>
      </w:r>
      <w:r w:rsidR="00553833">
        <w:rPr>
          <w:lang w:val="en-US"/>
        </w:rPr>
        <w:t xml:space="preserve">in mitigating hypothetical bias. </w:t>
      </w:r>
      <w:r w:rsidR="00F87FFB" w:rsidRPr="00F87FFB">
        <w:rPr>
          <w:lang w:val="en-US"/>
        </w:rPr>
        <w:t>External validation of the CV technique continues to be a serious issue.</w:t>
      </w:r>
      <w:r w:rsidR="00F87FFB">
        <w:rPr>
          <w:lang w:val="en-US"/>
        </w:rPr>
        <w:t xml:space="preserve"> </w:t>
      </w:r>
      <w:r w:rsidR="001C21D5">
        <w:rPr>
          <w:lang w:val="en-US"/>
        </w:rPr>
        <w:t xml:space="preserve">One </w:t>
      </w:r>
      <w:r w:rsidR="004A2200">
        <w:rPr>
          <w:lang w:val="en-US"/>
        </w:rPr>
        <w:t>way to avoid these difficulties, in part, is to design experiments in which an artificial capability is created to pay for private or public good</w:t>
      </w:r>
      <w:r w:rsidR="001B377F">
        <w:rPr>
          <w:lang w:val="en-US"/>
        </w:rPr>
        <w:t xml:space="preserve">s. </w:t>
      </w:r>
      <w:r w:rsidR="001778CB">
        <w:rPr>
          <w:lang w:val="en-US"/>
        </w:rPr>
        <w:t>So, it is recommended t</w:t>
      </w:r>
      <w:r w:rsidR="001B377F">
        <w:rPr>
          <w:lang w:val="en-US"/>
        </w:rPr>
        <w:t>he resul</w:t>
      </w:r>
      <w:r w:rsidR="00AE4764">
        <w:rPr>
          <w:lang w:val="en-US"/>
        </w:rPr>
        <w:t xml:space="preserve">ts of a CV estimation of WTP could be compared with the ‘’real’’ behavioral WTP for goods (in a sample or an analogous sample) that can really be bought and sold </w:t>
      </w:r>
      <w:r w:rsidR="001B377F">
        <w:rPr>
          <w:lang w:val="en-US"/>
        </w:rPr>
        <w:t>(</w:t>
      </w:r>
      <w:r w:rsidR="001B377F" w:rsidRPr="00CF62A8">
        <w:rPr>
          <w:lang w:val="en-US"/>
        </w:rPr>
        <w:t>Arrow et al., 1993</w:t>
      </w:r>
      <w:r w:rsidR="001B377F">
        <w:rPr>
          <w:lang w:val="en-US"/>
        </w:rPr>
        <w:t xml:space="preserve">). </w:t>
      </w:r>
    </w:p>
    <w:p w14:paraId="00B45C45" w14:textId="77777777" w:rsidR="002F5883" w:rsidRDefault="002F5883" w:rsidP="00322533">
      <w:pPr>
        <w:jc w:val="both"/>
        <w:rPr>
          <w:lang w:val="en-US"/>
        </w:rPr>
      </w:pPr>
    </w:p>
    <w:p w14:paraId="498CD4CB" w14:textId="77777777" w:rsidR="00B03D6D" w:rsidRDefault="00397ED6" w:rsidP="00DC4DA9">
      <w:pPr>
        <w:jc w:val="both"/>
        <w:outlineLvl w:val="0"/>
        <w:rPr>
          <w:b/>
          <w:lang w:val="en-US"/>
        </w:rPr>
      </w:pPr>
      <w:r w:rsidRPr="00397ED6">
        <w:rPr>
          <w:b/>
          <w:lang w:val="en-US"/>
        </w:rPr>
        <w:t>3. Survey design</w:t>
      </w:r>
    </w:p>
    <w:p w14:paraId="12B6575A" w14:textId="60FAAA5D" w:rsidR="00910BA9" w:rsidRDefault="00C47216" w:rsidP="00322533">
      <w:pPr>
        <w:jc w:val="both"/>
        <w:rPr>
          <w:lang w:val="en-US"/>
        </w:rPr>
      </w:pPr>
      <w:r>
        <w:rPr>
          <w:lang w:val="en-US"/>
        </w:rPr>
        <w:t xml:space="preserve">The design of the questionnaire is a key issue in a survey as the answers received depend on the information provided. The researcher should also </w:t>
      </w:r>
      <w:r w:rsidR="006D36DE">
        <w:rPr>
          <w:lang w:val="en-US"/>
        </w:rPr>
        <w:t>asses the amount of information required, particularly when the product under valuation is similar to other products already available on the market and whose properties are known by consumers.</w:t>
      </w:r>
      <w:r w:rsidR="003B5ABC">
        <w:rPr>
          <w:lang w:val="en-US"/>
        </w:rPr>
        <w:t xml:space="preserve"> The main problem of estimating the demand for a highly innovative commercial product, including a number that have not already been produced</w:t>
      </w:r>
      <w:r w:rsidR="002E5983">
        <w:rPr>
          <w:lang w:val="en-US"/>
        </w:rPr>
        <w:t xml:space="preserve">, as the </w:t>
      </w:r>
      <w:r w:rsidR="00AD2920">
        <w:rPr>
          <w:lang w:val="en-US"/>
        </w:rPr>
        <w:t>under-valuation</w:t>
      </w:r>
      <w:r w:rsidR="002E5983">
        <w:rPr>
          <w:lang w:val="en-US"/>
        </w:rPr>
        <w:t xml:space="preserve"> product in this research</w:t>
      </w:r>
      <w:r w:rsidR="003B5ABC">
        <w:rPr>
          <w:lang w:val="en-US"/>
        </w:rPr>
        <w:t xml:space="preserve">, </w:t>
      </w:r>
      <w:r w:rsidR="00904BEE">
        <w:rPr>
          <w:lang w:val="en-US"/>
        </w:rPr>
        <w:t>is similar to t</w:t>
      </w:r>
      <w:r w:rsidR="00132A61">
        <w:rPr>
          <w:lang w:val="en-US"/>
        </w:rPr>
        <w:t>he problem faced in CV research which concerns the valuation of WTP for a necessarily unknown product (</w:t>
      </w:r>
      <w:r w:rsidR="00132A61" w:rsidRPr="00CF62A8">
        <w:rPr>
          <w:lang w:val="en-US"/>
        </w:rPr>
        <w:t>Arrow et al., 1993</w:t>
      </w:r>
      <w:r w:rsidR="00132A61">
        <w:rPr>
          <w:lang w:val="en-US"/>
        </w:rPr>
        <w:t>).</w:t>
      </w:r>
      <w:r w:rsidR="00F50297">
        <w:rPr>
          <w:lang w:val="en-US"/>
        </w:rPr>
        <w:t xml:space="preserve"> </w:t>
      </w:r>
    </w:p>
    <w:p w14:paraId="6ABA1544" w14:textId="0B669179" w:rsidR="00BC11CD" w:rsidRDefault="00735CAD" w:rsidP="00322533">
      <w:pPr>
        <w:jc w:val="both"/>
        <w:rPr>
          <w:lang w:val="en-US"/>
        </w:rPr>
      </w:pPr>
      <w:r>
        <w:rPr>
          <w:lang w:val="en-US"/>
        </w:rPr>
        <w:t xml:space="preserve">The action of the </w:t>
      </w:r>
      <w:r w:rsidR="00AD2920">
        <w:rPr>
          <w:lang w:val="en-US"/>
        </w:rPr>
        <w:t>under-valuation</w:t>
      </w:r>
      <w:r>
        <w:rPr>
          <w:lang w:val="en-US"/>
        </w:rPr>
        <w:t xml:space="preserve"> product is focused on treating the symptoms of salinity. Its application is </w:t>
      </w:r>
      <w:r w:rsidR="00825DAA">
        <w:rPr>
          <w:lang w:val="en-US"/>
        </w:rPr>
        <w:t>mainly proposed in crops with particular sensitivity to t</w:t>
      </w:r>
      <w:r w:rsidR="00B6464E">
        <w:rPr>
          <w:lang w:val="en-US"/>
        </w:rPr>
        <w:t>he presence of salts</w:t>
      </w:r>
      <w:r w:rsidR="00EB7B91">
        <w:rPr>
          <w:lang w:val="en-US"/>
        </w:rPr>
        <w:t>.</w:t>
      </w:r>
      <w:r w:rsidR="00B6464E">
        <w:rPr>
          <w:lang w:val="en-US"/>
        </w:rPr>
        <w:t xml:space="preserve"> </w:t>
      </w:r>
      <w:r w:rsidR="00ED4848">
        <w:rPr>
          <w:lang w:val="en-US"/>
        </w:rPr>
        <w:t>To elicit valuations for the fertilizer</w:t>
      </w:r>
      <w:r w:rsidR="006A263C">
        <w:rPr>
          <w:lang w:val="en-US"/>
        </w:rPr>
        <w:t xml:space="preserve"> against salinity, we examined two packs of 1lt and 5lt capacity respectively.</w:t>
      </w:r>
      <w:r w:rsidR="0042372A">
        <w:rPr>
          <w:lang w:val="en-US"/>
        </w:rPr>
        <w:t xml:space="preserve"> Also, we ought to say that the prices for the under valuation good have not yet been established, as salinity products are in the final experimental stage. Therefore, some indicative prices for each pack</w:t>
      </w:r>
      <w:r w:rsidR="00EA7265">
        <w:rPr>
          <w:lang w:val="en-US"/>
        </w:rPr>
        <w:t xml:space="preserve">age were given by the </w:t>
      </w:r>
      <w:r w:rsidR="00DF637B">
        <w:rPr>
          <w:lang w:val="en-US"/>
        </w:rPr>
        <w:t>competent company</w:t>
      </w:r>
      <w:r w:rsidR="00217D69">
        <w:rPr>
          <w:lang w:val="en-US"/>
        </w:rPr>
        <w:t xml:space="preserve"> based on prices of other similar products</w:t>
      </w:r>
      <w:r w:rsidR="00DF637B">
        <w:rPr>
          <w:lang w:val="en-US"/>
        </w:rPr>
        <w:t>. There were ten bid amounts used for the Discrete Choice format</w:t>
      </w:r>
      <w:r w:rsidR="00BC11CD">
        <w:rPr>
          <w:lang w:val="en-US"/>
        </w:rPr>
        <w:t xml:space="preserve">. The amounts used to each package were: </w:t>
      </w:r>
    </w:p>
    <w:p w14:paraId="5250FD50" w14:textId="77777777" w:rsidR="00BC11CD" w:rsidRDefault="00BC11CD" w:rsidP="00BC11CD">
      <w:pPr>
        <w:pStyle w:val="ListParagraph"/>
        <w:numPr>
          <w:ilvl w:val="0"/>
          <w:numId w:val="1"/>
        </w:numPr>
        <w:jc w:val="both"/>
        <w:rPr>
          <w:lang w:val="en-US"/>
        </w:rPr>
      </w:pPr>
      <w:r w:rsidRPr="00BC11CD">
        <w:rPr>
          <w:b/>
          <w:lang w:val="en-US"/>
        </w:rPr>
        <w:t>1lt</w:t>
      </w:r>
      <w:r>
        <w:rPr>
          <w:lang w:val="en-US"/>
        </w:rPr>
        <w:t xml:space="preserve">: </w:t>
      </w:r>
      <w:r w:rsidRPr="00BC11CD">
        <w:rPr>
          <w:lang w:val="en-US"/>
        </w:rPr>
        <w:t>10 euro vs. 12 euro vs. 15 euro vs. 17 euro vs. 20 euro (€)</w:t>
      </w:r>
      <w:r>
        <w:rPr>
          <w:lang w:val="en-US"/>
        </w:rPr>
        <w:t xml:space="preserve"> </w:t>
      </w:r>
    </w:p>
    <w:p w14:paraId="16DBEC23" w14:textId="77777777" w:rsidR="00BC11CD" w:rsidRDefault="00BC11CD" w:rsidP="00BC11CD">
      <w:pPr>
        <w:pStyle w:val="ListParagraph"/>
        <w:numPr>
          <w:ilvl w:val="0"/>
          <w:numId w:val="1"/>
        </w:numPr>
        <w:jc w:val="both"/>
        <w:rPr>
          <w:lang w:val="en-US"/>
        </w:rPr>
      </w:pPr>
      <w:r w:rsidRPr="00BC11CD">
        <w:rPr>
          <w:b/>
          <w:lang w:val="en-US"/>
        </w:rPr>
        <w:lastRenderedPageBreak/>
        <w:t>5lt</w:t>
      </w:r>
      <w:r>
        <w:rPr>
          <w:lang w:val="en-US"/>
        </w:rPr>
        <w:t>: 37 euro vs. 45 euro vs. 56 euro vs. 63 euro vs. 75 euro (€)</w:t>
      </w:r>
    </w:p>
    <w:p w14:paraId="34EC4831" w14:textId="77777777" w:rsidR="002576D7" w:rsidRDefault="006651F6" w:rsidP="00322533">
      <w:pPr>
        <w:jc w:val="both"/>
        <w:rPr>
          <w:lang w:val="en-US"/>
        </w:rPr>
      </w:pPr>
      <w:r>
        <w:rPr>
          <w:lang w:val="en-US"/>
        </w:rPr>
        <w:t>In each questionnaire was examined the WTP for both packages</w:t>
      </w:r>
      <w:r w:rsidR="00497700">
        <w:rPr>
          <w:lang w:val="en-US"/>
        </w:rPr>
        <w:t xml:space="preserve"> of </w:t>
      </w:r>
      <w:r w:rsidR="000E7EE2">
        <w:rPr>
          <w:lang w:val="en-US"/>
        </w:rPr>
        <w:t>fertilizer</w:t>
      </w:r>
      <w:r>
        <w:rPr>
          <w:lang w:val="en-US"/>
        </w:rPr>
        <w:t>.</w:t>
      </w:r>
      <w:r w:rsidR="00960DAB">
        <w:rPr>
          <w:lang w:val="en-US"/>
        </w:rPr>
        <w:t xml:space="preserve"> </w:t>
      </w:r>
      <w:r w:rsidR="00E23324">
        <w:rPr>
          <w:lang w:val="en-US"/>
        </w:rPr>
        <w:t xml:space="preserve">Respondents, were randomly assigned </w:t>
      </w:r>
      <w:r w:rsidR="00040D63">
        <w:rPr>
          <w:lang w:val="en-US"/>
        </w:rPr>
        <w:t xml:space="preserve">one of ten different prices for each package. </w:t>
      </w:r>
      <w:r w:rsidR="00960DAB">
        <w:rPr>
          <w:lang w:val="en-US"/>
        </w:rPr>
        <w:t>Especially, half of the participants were asked to answer the WTP question for the 1lt package first and then for the 5lt package.</w:t>
      </w:r>
      <w:r w:rsidR="003A63D4">
        <w:rPr>
          <w:lang w:val="en-US"/>
        </w:rPr>
        <w:t xml:space="preserve"> </w:t>
      </w:r>
      <w:r w:rsidR="00A6104B">
        <w:rPr>
          <w:lang w:val="en-US"/>
        </w:rPr>
        <w:t>Conversely, t</w:t>
      </w:r>
      <w:r w:rsidR="003A63D4">
        <w:rPr>
          <w:lang w:val="en-US"/>
        </w:rPr>
        <w:t>he rest of the sample had to</w:t>
      </w:r>
      <w:r w:rsidR="00A6104B">
        <w:rPr>
          <w:lang w:val="en-US"/>
        </w:rPr>
        <w:t xml:space="preserve"> answer the WTP question for the 5lt package first and then for the 1lt package</w:t>
      </w:r>
      <w:r w:rsidR="00EB7B91">
        <w:rPr>
          <w:lang w:val="en-US"/>
        </w:rPr>
        <w:t>. Table 1</w:t>
      </w:r>
      <w:r w:rsidR="00CE11DA">
        <w:rPr>
          <w:lang w:val="en-US"/>
        </w:rPr>
        <w:t xml:space="preserve"> summarizes the survey’s experimental design.</w:t>
      </w:r>
    </w:p>
    <w:p w14:paraId="5F5BCF7A" w14:textId="77777777" w:rsidR="001625B8" w:rsidRDefault="00EB7B91" w:rsidP="00DC4DA9">
      <w:pPr>
        <w:spacing w:after="0" w:line="240" w:lineRule="auto"/>
        <w:jc w:val="center"/>
        <w:outlineLvl w:val="0"/>
        <w:rPr>
          <w:lang w:val="en-US"/>
        </w:rPr>
      </w:pPr>
      <w:r>
        <w:rPr>
          <w:lang w:val="en-US"/>
        </w:rPr>
        <w:t>Table 1</w:t>
      </w:r>
      <w:r w:rsidR="001625B8">
        <w:rPr>
          <w:lang w:val="en-US"/>
        </w:rPr>
        <w:t xml:space="preserve">: Survey’s experimental design </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5"/>
        <w:gridCol w:w="1749"/>
        <w:gridCol w:w="1510"/>
        <w:gridCol w:w="1510"/>
        <w:gridCol w:w="1468"/>
      </w:tblGrid>
      <w:tr w:rsidR="00ED349C" w:rsidRPr="00CC446F" w14:paraId="766966F9" w14:textId="77777777" w:rsidTr="00E91AC0">
        <w:trPr>
          <w:trHeight w:val="20"/>
        </w:trPr>
        <w:tc>
          <w:tcPr>
            <w:tcW w:w="1555" w:type="dxa"/>
            <w:tcBorders>
              <w:top w:val="double" w:sz="4" w:space="0" w:color="auto"/>
              <w:left w:val="single" w:sz="4" w:space="0" w:color="auto"/>
              <w:bottom w:val="double" w:sz="4" w:space="0" w:color="auto"/>
              <w:right w:val="nil"/>
            </w:tcBorders>
            <w:shd w:val="clear" w:color="auto" w:fill="auto"/>
          </w:tcPr>
          <w:p w14:paraId="672A6659" w14:textId="77777777" w:rsidR="00ED349C" w:rsidRPr="004E5473" w:rsidRDefault="00ED349C" w:rsidP="009F7A99">
            <w:pPr>
              <w:jc w:val="center"/>
              <w:rPr>
                <w:rFonts w:eastAsia="Calibri" w:cs="Arial"/>
                <w:lang w:val="en-US"/>
              </w:rPr>
            </w:pPr>
          </w:p>
        </w:tc>
        <w:tc>
          <w:tcPr>
            <w:tcW w:w="1749" w:type="dxa"/>
            <w:tcBorders>
              <w:top w:val="double" w:sz="4" w:space="0" w:color="auto"/>
              <w:left w:val="nil"/>
              <w:bottom w:val="double" w:sz="4" w:space="0" w:color="auto"/>
              <w:right w:val="nil"/>
            </w:tcBorders>
          </w:tcPr>
          <w:p w14:paraId="0A37501D" w14:textId="77777777" w:rsidR="00ED349C" w:rsidRDefault="00ED349C" w:rsidP="009F7A99">
            <w:pPr>
              <w:jc w:val="center"/>
              <w:rPr>
                <w:rFonts w:eastAsia="Calibri" w:cs="Arial"/>
                <w:b/>
                <w:lang w:val="en-US"/>
              </w:rPr>
            </w:pPr>
          </w:p>
        </w:tc>
        <w:tc>
          <w:tcPr>
            <w:tcW w:w="1510" w:type="dxa"/>
            <w:tcBorders>
              <w:top w:val="double" w:sz="4" w:space="0" w:color="auto"/>
              <w:left w:val="nil"/>
              <w:bottom w:val="double" w:sz="4" w:space="0" w:color="auto"/>
              <w:right w:val="nil"/>
            </w:tcBorders>
          </w:tcPr>
          <w:p w14:paraId="1E6A071E" w14:textId="77777777" w:rsidR="00ED349C" w:rsidRDefault="00E91AC0" w:rsidP="009F7A99">
            <w:pPr>
              <w:jc w:val="center"/>
              <w:rPr>
                <w:rFonts w:eastAsia="Calibri" w:cs="Arial"/>
                <w:b/>
                <w:lang w:val="en-US"/>
              </w:rPr>
            </w:pPr>
            <w:r>
              <w:rPr>
                <w:rFonts w:eastAsia="Calibri" w:cs="Arial"/>
                <w:b/>
                <w:lang w:val="en-US"/>
              </w:rPr>
              <w:t>Packages</w:t>
            </w:r>
          </w:p>
          <w:p w14:paraId="5A3ED792" w14:textId="77777777" w:rsidR="00E91AC0" w:rsidRDefault="00E91AC0" w:rsidP="009F7A99">
            <w:pPr>
              <w:jc w:val="center"/>
              <w:rPr>
                <w:rFonts w:eastAsia="Calibri" w:cs="Arial"/>
                <w:b/>
                <w:lang w:val="en-US"/>
              </w:rPr>
            </w:pPr>
            <w:r>
              <w:rPr>
                <w:rFonts w:eastAsia="Calibri" w:cs="Arial"/>
                <w:b/>
                <w:lang w:val="en-US"/>
              </w:rPr>
              <w:t xml:space="preserve">1lt – 5 </w:t>
            </w:r>
            <w:proofErr w:type="spellStart"/>
            <w:r>
              <w:rPr>
                <w:rFonts w:eastAsia="Calibri" w:cs="Arial"/>
                <w:b/>
                <w:lang w:val="en-US"/>
              </w:rPr>
              <w:t>lt</w:t>
            </w:r>
            <w:proofErr w:type="spellEnd"/>
          </w:p>
          <w:p w14:paraId="7395D4CD" w14:textId="77777777" w:rsidR="00E91AC0" w:rsidRDefault="00E91AC0" w:rsidP="009F7A99">
            <w:pPr>
              <w:jc w:val="center"/>
              <w:rPr>
                <w:rFonts w:eastAsia="Calibri" w:cs="Arial"/>
                <w:b/>
                <w:lang w:val="en-US"/>
              </w:rPr>
            </w:pPr>
            <w:r>
              <w:rPr>
                <w:rFonts w:eastAsia="Calibri" w:cs="Arial"/>
                <w:b/>
                <w:lang w:val="en-US"/>
              </w:rPr>
              <w:t xml:space="preserve">5 </w:t>
            </w:r>
            <w:proofErr w:type="spellStart"/>
            <w:r>
              <w:rPr>
                <w:rFonts w:eastAsia="Calibri" w:cs="Arial"/>
                <w:b/>
                <w:lang w:val="en-US"/>
              </w:rPr>
              <w:t>lt</w:t>
            </w:r>
            <w:proofErr w:type="spellEnd"/>
            <w:r>
              <w:rPr>
                <w:rFonts w:eastAsia="Calibri" w:cs="Arial"/>
                <w:b/>
                <w:lang w:val="en-US"/>
              </w:rPr>
              <w:t xml:space="preserve"> – 1lt</w:t>
            </w:r>
          </w:p>
        </w:tc>
        <w:tc>
          <w:tcPr>
            <w:tcW w:w="1510" w:type="dxa"/>
            <w:tcBorders>
              <w:top w:val="double" w:sz="4" w:space="0" w:color="auto"/>
              <w:left w:val="nil"/>
              <w:bottom w:val="double" w:sz="4" w:space="0" w:color="auto"/>
              <w:right w:val="nil"/>
            </w:tcBorders>
          </w:tcPr>
          <w:p w14:paraId="5DAB6C7B" w14:textId="77777777" w:rsidR="00ED349C" w:rsidRDefault="00ED349C" w:rsidP="009F7A99">
            <w:pPr>
              <w:jc w:val="center"/>
              <w:rPr>
                <w:rFonts w:eastAsia="Calibri" w:cs="Arial"/>
                <w:b/>
                <w:lang w:val="en-US"/>
              </w:rPr>
            </w:pPr>
          </w:p>
        </w:tc>
        <w:tc>
          <w:tcPr>
            <w:tcW w:w="1468" w:type="dxa"/>
            <w:tcBorders>
              <w:top w:val="double" w:sz="4" w:space="0" w:color="auto"/>
              <w:left w:val="nil"/>
              <w:bottom w:val="double" w:sz="4" w:space="0" w:color="auto"/>
              <w:right w:val="single" w:sz="4" w:space="0" w:color="auto"/>
            </w:tcBorders>
          </w:tcPr>
          <w:p w14:paraId="02EB378F" w14:textId="77777777" w:rsidR="00ED349C" w:rsidRPr="006E73CA" w:rsidRDefault="00ED349C" w:rsidP="009F7A99">
            <w:pPr>
              <w:jc w:val="center"/>
              <w:rPr>
                <w:rFonts w:eastAsia="Calibri" w:cs="Arial"/>
                <w:b/>
                <w:lang w:val="en-US"/>
              </w:rPr>
            </w:pPr>
          </w:p>
        </w:tc>
      </w:tr>
      <w:tr w:rsidR="00ED349C" w:rsidRPr="00ED349C" w14:paraId="4026A570" w14:textId="77777777" w:rsidTr="00E91AC0">
        <w:trPr>
          <w:trHeight w:val="20"/>
        </w:trPr>
        <w:tc>
          <w:tcPr>
            <w:tcW w:w="1555" w:type="dxa"/>
            <w:tcBorders>
              <w:top w:val="double" w:sz="4" w:space="0" w:color="auto"/>
              <w:left w:val="single" w:sz="4" w:space="0" w:color="auto"/>
              <w:right w:val="single" w:sz="4" w:space="0" w:color="auto"/>
            </w:tcBorders>
          </w:tcPr>
          <w:p w14:paraId="712EE7DE" w14:textId="77777777" w:rsidR="00ED349C" w:rsidRPr="006E73CA" w:rsidRDefault="00ED349C" w:rsidP="009F7A99">
            <w:pPr>
              <w:rPr>
                <w:rFonts w:eastAsia="Calibri" w:cs="Arial"/>
                <w:lang w:val="en-US"/>
              </w:rPr>
            </w:pPr>
            <w:r>
              <w:rPr>
                <w:rFonts w:eastAsia="Calibri" w:cs="Arial"/>
                <w:lang w:val="en-US"/>
              </w:rPr>
              <w:t xml:space="preserve">a.    10 </w:t>
            </w:r>
            <w:r w:rsidRPr="006E73CA">
              <w:rPr>
                <w:rFonts w:eastAsia="Calibri" w:cs="Arial"/>
                <w:lang w:val="en-US"/>
              </w:rPr>
              <w:t>– 37</w:t>
            </w:r>
            <w:r>
              <w:rPr>
                <w:rFonts w:eastAsia="Calibri" w:cs="Arial"/>
                <w:lang w:val="en-US"/>
              </w:rPr>
              <w:t xml:space="preserve"> </w:t>
            </w:r>
          </w:p>
        </w:tc>
        <w:tc>
          <w:tcPr>
            <w:tcW w:w="1749" w:type="dxa"/>
            <w:tcBorders>
              <w:top w:val="double" w:sz="4" w:space="0" w:color="auto"/>
              <w:left w:val="single" w:sz="4" w:space="0" w:color="auto"/>
              <w:right w:val="single" w:sz="4" w:space="0" w:color="auto"/>
            </w:tcBorders>
          </w:tcPr>
          <w:p w14:paraId="6B144B37" w14:textId="77777777" w:rsidR="00ED349C" w:rsidRPr="006E73CA" w:rsidRDefault="00ED349C" w:rsidP="009F7A99">
            <w:pPr>
              <w:rPr>
                <w:rFonts w:eastAsia="Calibri" w:cs="Arial"/>
                <w:lang w:val="en-US"/>
              </w:rPr>
            </w:pPr>
            <w:r>
              <w:rPr>
                <w:rFonts w:eastAsia="Calibri" w:cs="Arial"/>
                <w:lang w:val="en-US"/>
              </w:rPr>
              <w:t>b.     12 - 37</w:t>
            </w:r>
          </w:p>
        </w:tc>
        <w:tc>
          <w:tcPr>
            <w:tcW w:w="1510" w:type="dxa"/>
            <w:tcBorders>
              <w:top w:val="double" w:sz="4" w:space="0" w:color="auto"/>
              <w:left w:val="single" w:sz="4" w:space="0" w:color="auto"/>
              <w:right w:val="single" w:sz="4" w:space="0" w:color="auto"/>
            </w:tcBorders>
          </w:tcPr>
          <w:p w14:paraId="29D44403" w14:textId="77777777" w:rsidR="00ED349C" w:rsidRPr="006E73CA" w:rsidRDefault="00ED349C" w:rsidP="009F7A99">
            <w:pPr>
              <w:rPr>
                <w:rFonts w:eastAsia="Calibri" w:cs="Arial"/>
                <w:lang w:val="en-US"/>
              </w:rPr>
            </w:pPr>
            <w:r>
              <w:rPr>
                <w:rFonts w:eastAsia="Calibri" w:cs="Arial"/>
                <w:lang w:val="en-US"/>
              </w:rPr>
              <w:t>c.    15 - 37</w:t>
            </w:r>
          </w:p>
        </w:tc>
        <w:tc>
          <w:tcPr>
            <w:tcW w:w="1510" w:type="dxa"/>
            <w:tcBorders>
              <w:top w:val="double" w:sz="4" w:space="0" w:color="auto"/>
              <w:left w:val="single" w:sz="4" w:space="0" w:color="auto"/>
              <w:right w:val="single" w:sz="4" w:space="0" w:color="auto"/>
            </w:tcBorders>
          </w:tcPr>
          <w:p w14:paraId="3BCE698E" w14:textId="77777777" w:rsidR="00ED349C" w:rsidRPr="006E73CA" w:rsidRDefault="00ED349C" w:rsidP="009F7A99">
            <w:pPr>
              <w:rPr>
                <w:rFonts w:eastAsia="Calibri" w:cs="Arial"/>
                <w:lang w:val="en-US"/>
              </w:rPr>
            </w:pPr>
            <w:r>
              <w:rPr>
                <w:rFonts w:eastAsia="Calibri" w:cs="Arial"/>
                <w:lang w:val="en-US"/>
              </w:rPr>
              <w:t>d.   17 - 37</w:t>
            </w:r>
          </w:p>
        </w:tc>
        <w:tc>
          <w:tcPr>
            <w:tcW w:w="1468" w:type="dxa"/>
            <w:tcBorders>
              <w:top w:val="double" w:sz="4" w:space="0" w:color="auto"/>
              <w:left w:val="single" w:sz="4" w:space="0" w:color="auto"/>
              <w:bottom w:val="single" w:sz="4" w:space="0" w:color="auto"/>
              <w:right w:val="single" w:sz="4" w:space="0" w:color="auto"/>
            </w:tcBorders>
          </w:tcPr>
          <w:p w14:paraId="37783F5F" w14:textId="77777777" w:rsidR="00ED349C" w:rsidRPr="006E73CA" w:rsidRDefault="00ED349C" w:rsidP="009F7A99">
            <w:pPr>
              <w:rPr>
                <w:rFonts w:eastAsia="Calibri" w:cs="Arial"/>
                <w:lang w:val="en-US"/>
              </w:rPr>
            </w:pPr>
            <w:r>
              <w:rPr>
                <w:rFonts w:eastAsia="Calibri" w:cs="Arial"/>
                <w:lang w:val="en-US"/>
              </w:rPr>
              <w:t>e.   20 - 37</w:t>
            </w:r>
          </w:p>
        </w:tc>
      </w:tr>
      <w:tr w:rsidR="00ED349C" w:rsidRPr="00ED349C" w14:paraId="4552C408" w14:textId="77777777" w:rsidTr="00E91AC0">
        <w:trPr>
          <w:trHeight w:val="20"/>
        </w:trPr>
        <w:tc>
          <w:tcPr>
            <w:tcW w:w="1555" w:type="dxa"/>
            <w:tcBorders>
              <w:left w:val="single" w:sz="4" w:space="0" w:color="auto"/>
              <w:right w:val="single" w:sz="4" w:space="0" w:color="auto"/>
            </w:tcBorders>
          </w:tcPr>
          <w:p w14:paraId="7170B010" w14:textId="77777777" w:rsidR="00ED349C" w:rsidRPr="006E73CA" w:rsidRDefault="00ED349C" w:rsidP="009F7A99">
            <w:pPr>
              <w:jc w:val="center"/>
              <w:rPr>
                <w:rFonts w:eastAsia="Calibri" w:cs="Arial"/>
                <w:lang w:val="en-US"/>
              </w:rPr>
            </w:pPr>
            <w:r w:rsidRPr="006E73CA">
              <w:rPr>
                <w:rFonts w:eastAsia="Calibri" w:cs="Arial"/>
                <w:lang w:val="en-US"/>
              </w:rPr>
              <w:t>10 – 45</w:t>
            </w:r>
          </w:p>
        </w:tc>
        <w:tc>
          <w:tcPr>
            <w:tcW w:w="1749" w:type="dxa"/>
            <w:tcBorders>
              <w:left w:val="single" w:sz="4" w:space="0" w:color="auto"/>
              <w:right w:val="single" w:sz="4" w:space="0" w:color="auto"/>
            </w:tcBorders>
          </w:tcPr>
          <w:p w14:paraId="33647AE8" w14:textId="77777777" w:rsidR="00ED349C" w:rsidRPr="006E73CA" w:rsidRDefault="00ED349C" w:rsidP="00ED349C">
            <w:pPr>
              <w:rPr>
                <w:rFonts w:eastAsia="Calibri" w:cs="Arial"/>
                <w:lang w:val="en-US"/>
              </w:rPr>
            </w:pPr>
            <w:r>
              <w:rPr>
                <w:rFonts w:eastAsia="Calibri" w:cs="Arial"/>
                <w:lang w:val="en-US"/>
              </w:rPr>
              <w:t xml:space="preserve">        12 - 45</w:t>
            </w:r>
          </w:p>
        </w:tc>
        <w:tc>
          <w:tcPr>
            <w:tcW w:w="1510" w:type="dxa"/>
            <w:tcBorders>
              <w:left w:val="single" w:sz="4" w:space="0" w:color="auto"/>
              <w:right w:val="single" w:sz="4" w:space="0" w:color="auto"/>
            </w:tcBorders>
          </w:tcPr>
          <w:p w14:paraId="5C877B4D" w14:textId="77777777" w:rsidR="00ED349C" w:rsidRPr="006E73CA" w:rsidRDefault="00ED349C" w:rsidP="009F7A99">
            <w:pPr>
              <w:jc w:val="center"/>
              <w:rPr>
                <w:rFonts w:eastAsia="Calibri" w:cs="Arial"/>
                <w:lang w:val="en-US"/>
              </w:rPr>
            </w:pPr>
            <w:r>
              <w:rPr>
                <w:rFonts w:eastAsia="Calibri" w:cs="Arial"/>
                <w:lang w:val="en-US"/>
              </w:rPr>
              <w:t>15 - 45</w:t>
            </w:r>
          </w:p>
        </w:tc>
        <w:tc>
          <w:tcPr>
            <w:tcW w:w="1510" w:type="dxa"/>
            <w:tcBorders>
              <w:left w:val="single" w:sz="4" w:space="0" w:color="auto"/>
              <w:right w:val="single" w:sz="4" w:space="0" w:color="auto"/>
            </w:tcBorders>
          </w:tcPr>
          <w:p w14:paraId="731A4813" w14:textId="77777777" w:rsidR="00ED349C" w:rsidRPr="006E73CA" w:rsidRDefault="00ED349C" w:rsidP="009F7A99">
            <w:pPr>
              <w:jc w:val="center"/>
              <w:rPr>
                <w:rFonts w:eastAsia="Calibri" w:cs="Arial"/>
                <w:lang w:val="en-US"/>
              </w:rPr>
            </w:pPr>
            <w:r>
              <w:rPr>
                <w:rFonts w:eastAsia="Calibri" w:cs="Arial"/>
                <w:lang w:val="en-US"/>
              </w:rPr>
              <w:t>17 - 45</w:t>
            </w:r>
          </w:p>
        </w:tc>
        <w:tc>
          <w:tcPr>
            <w:tcW w:w="1468" w:type="dxa"/>
            <w:tcBorders>
              <w:top w:val="single" w:sz="4" w:space="0" w:color="auto"/>
              <w:left w:val="single" w:sz="4" w:space="0" w:color="auto"/>
              <w:bottom w:val="single" w:sz="4" w:space="0" w:color="auto"/>
              <w:right w:val="single" w:sz="4" w:space="0" w:color="auto"/>
            </w:tcBorders>
          </w:tcPr>
          <w:p w14:paraId="7112D3C9" w14:textId="77777777" w:rsidR="00ED349C" w:rsidRPr="006E73CA" w:rsidRDefault="00ED349C" w:rsidP="009F7A99">
            <w:pPr>
              <w:jc w:val="center"/>
              <w:rPr>
                <w:rFonts w:eastAsia="Calibri" w:cs="Arial"/>
                <w:lang w:val="en-US"/>
              </w:rPr>
            </w:pPr>
            <w:r>
              <w:rPr>
                <w:rFonts w:eastAsia="Calibri" w:cs="Arial"/>
                <w:lang w:val="en-US"/>
              </w:rPr>
              <w:t>20 - 45</w:t>
            </w:r>
          </w:p>
        </w:tc>
      </w:tr>
      <w:tr w:rsidR="00ED349C" w:rsidRPr="00ED349C" w14:paraId="145D82B0" w14:textId="77777777" w:rsidTr="00E91AC0">
        <w:trPr>
          <w:trHeight w:val="20"/>
        </w:trPr>
        <w:tc>
          <w:tcPr>
            <w:tcW w:w="1555" w:type="dxa"/>
            <w:tcBorders>
              <w:left w:val="single" w:sz="4" w:space="0" w:color="auto"/>
              <w:right w:val="single" w:sz="4" w:space="0" w:color="auto"/>
            </w:tcBorders>
          </w:tcPr>
          <w:p w14:paraId="48971EBA" w14:textId="77777777" w:rsidR="00ED349C" w:rsidRPr="006E73CA" w:rsidRDefault="00ED349C" w:rsidP="009F7A99">
            <w:pPr>
              <w:jc w:val="center"/>
              <w:rPr>
                <w:rFonts w:eastAsia="Calibri" w:cs="Arial"/>
                <w:lang w:val="en-US"/>
              </w:rPr>
            </w:pPr>
            <w:r w:rsidRPr="006E73CA">
              <w:rPr>
                <w:rFonts w:eastAsia="Calibri" w:cs="Arial"/>
                <w:lang w:val="en-US"/>
              </w:rPr>
              <w:t>10 – 56</w:t>
            </w:r>
          </w:p>
        </w:tc>
        <w:tc>
          <w:tcPr>
            <w:tcW w:w="1749" w:type="dxa"/>
            <w:tcBorders>
              <w:left w:val="single" w:sz="4" w:space="0" w:color="auto"/>
              <w:right w:val="single" w:sz="4" w:space="0" w:color="auto"/>
            </w:tcBorders>
          </w:tcPr>
          <w:p w14:paraId="6F7656D8" w14:textId="77777777" w:rsidR="00ED349C" w:rsidRDefault="00ED349C" w:rsidP="00ED349C">
            <w:pPr>
              <w:rPr>
                <w:rFonts w:eastAsia="Calibri" w:cs="Arial"/>
                <w:lang w:val="en-US"/>
              </w:rPr>
            </w:pPr>
            <w:r>
              <w:rPr>
                <w:rFonts w:eastAsia="Calibri" w:cs="Arial"/>
                <w:lang w:val="en-US"/>
              </w:rPr>
              <w:t xml:space="preserve">        12 - 56</w:t>
            </w:r>
          </w:p>
        </w:tc>
        <w:tc>
          <w:tcPr>
            <w:tcW w:w="1510" w:type="dxa"/>
            <w:tcBorders>
              <w:left w:val="single" w:sz="4" w:space="0" w:color="auto"/>
              <w:right w:val="single" w:sz="4" w:space="0" w:color="auto"/>
            </w:tcBorders>
          </w:tcPr>
          <w:p w14:paraId="3FD99B77" w14:textId="77777777" w:rsidR="00ED349C" w:rsidRDefault="00ED349C" w:rsidP="009F7A99">
            <w:pPr>
              <w:jc w:val="center"/>
              <w:rPr>
                <w:rFonts w:eastAsia="Calibri" w:cs="Arial"/>
                <w:lang w:val="en-US"/>
              </w:rPr>
            </w:pPr>
            <w:r>
              <w:rPr>
                <w:rFonts w:eastAsia="Calibri" w:cs="Arial"/>
                <w:lang w:val="en-US"/>
              </w:rPr>
              <w:t>15 - 56</w:t>
            </w:r>
          </w:p>
        </w:tc>
        <w:tc>
          <w:tcPr>
            <w:tcW w:w="1510" w:type="dxa"/>
            <w:tcBorders>
              <w:left w:val="single" w:sz="4" w:space="0" w:color="auto"/>
              <w:right w:val="single" w:sz="4" w:space="0" w:color="auto"/>
            </w:tcBorders>
          </w:tcPr>
          <w:p w14:paraId="76F88C2C" w14:textId="77777777" w:rsidR="00ED349C" w:rsidRDefault="00ED349C" w:rsidP="009F7A99">
            <w:pPr>
              <w:jc w:val="center"/>
              <w:rPr>
                <w:rFonts w:eastAsia="Calibri" w:cs="Arial"/>
                <w:lang w:val="en-US"/>
              </w:rPr>
            </w:pPr>
            <w:r>
              <w:rPr>
                <w:rFonts w:eastAsia="Calibri" w:cs="Arial"/>
                <w:lang w:val="en-US"/>
              </w:rPr>
              <w:t>17 - 56</w:t>
            </w:r>
          </w:p>
        </w:tc>
        <w:tc>
          <w:tcPr>
            <w:tcW w:w="1468" w:type="dxa"/>
            <w:tcBorders>
              <w:top w:val="single" w:sz="4" w:space="0" w:color="auto"/>
              <w:left w:val="single" w:sz="4" w:space="0" w:color="auto"/>
              <w:bottom w:val="single" w:sz="4" w:space="0" w:color="auto"/>
              <w:right w:val="single" w:sz="4" w:space="0" w:color="auto"/>
            </w:tcBorders>
          </w:tcPr>
          <w:p w14:paraId="331B7E31" w14:textId="77777777" w:rsidR="00ED349C" w:rsidRPr="006E73CA" w:rsidRDefault="00ED349C" w:rsidP="009F7A99">
            <w:pPr>
              <w:jc w:val="center"/>
              <w:rPr>
                <w:rFonts w:eastAsia="Calibri" w:cs="Arial"/>
                <w:lang w:val="en-US"/>
              </w:rPr>
            </w:pPr>
            <w:r>
              <w:rPr>
                <w:rFonts w:eastAsia="Calibri" w:cs="Arial"/>
                <w:lang w:val="en-US"/>
              </w:rPr>
              <w:t>20 - 56</w:t>
            </w:r>
          </w:p>
        </w:tc>
      </w:tr>
      <w:tr w:rsidR="00ED349C" w:rsidRPr="00ED349C" w14:paraId="7F54E7C2" w14:textId="77777777" w:rsidTr="00E91AC0">
        <w:trPr>
          <w:trHeight w:val="20"/>
        </w:trPr>
        <w:tc>
          <w:tcPr>
            <w:tcW w:w="1555" w:type="dxa"/>
            <w:tcBorders>
              <w:left w:val="single" w:sz="4" w:space="0" w:color="auto"/>
              <w:right w:val="single" w:sz="4" w:space="0" w:color="auto"/>
            </w:tcBorders>
          </w:tcPr>
          <w:p w14:paraId="51793082" w14:textId="77777777" w:rsidR="00ED349C" w:rsidRPr="006E73CA" w:rsidRDefault="00ED349C" w:rsidP="009F7A99">
            <w:pPr>
              <w:jc w:val="center"/>
              <w:rPr>
                <w:rFonts w:eastAsia="Calibri" w:cs="Arial"/>
                <w:lang w:val="en-US"/>
              </w:rPr>
            </w:pPr>
            <w:r w:rsidRPr="006E73CA">
              <w:rPr>
                <w:rFonts w:eastAsia="Calibri" w:cs="Arial"/>
                <w:lang w:val="en-US"/>
              </w:rPr>
              <w:t>10 – 63</w:t>
            </w:r>
          </w:p>
        </w:tc>
        <w:tc>
          <w:tcPr>
            <w:tcW w:w="1749" w:type="dxa"/>
            <w:tcBorders>
              <w:left w:val="single" w:sz="4" w:space="0" w:color="auto"/>
              <w:right w:val="single" w:sz="4" w:space="0" w:color="auto"/>
            </w:tcBorders>
          </w:tcPr>
          <w:p w14:paraId="3D1055F5" w14:textId="77777777" w:rsidR="00ED349C" w:rsidRPr="006E73CA" w:rsidRDefault="00ED349C" w:rsidP="00ED349C">
            <w:pPr>
              <w:rPr>
                <w:rFonts w:eastAsia="Calibri" w:cs="Arial"/>
                <w:lang w:val="en-US"/>
              </w:rPr>
            </w:pPr>
            <w:r>
              <w:rPr>
                <w:rFonts w:eastAsia="Calibri" w:cs="Arial"/>
                <w:lang w:val="en-US"/>
              </w:rPr>
              <w:t xml:space="preserve">        12 - 63</w:t>
            </w:r>
          </w:p>
        </w:tc>
        <w:tc>
          <w:tcPr>
            <w:tcW w:w="1510" w:type="dxa"/>
            <w:tcBorders>
              <w:left w:val="single" w:sz="4" w:space="0" w:color="auto"/>
              <w:right w:val="single" w:sz="4" w:space="0" w:color="auto"/>
            </w:tcBorders>
          </w:tcPr>
          <w:p w14:paraId="5B9398A9" w14:textId="77777777" w:rsidR="00ED349C" w:rsidRPr="006E73CA" w:rsidRDefault="00ED349C" w:rsidP="009F7A99">
            <w:pPr>
              <w:jc w:val="center"/>
              <w:rPr>
                <w:rFonts w:eastAsia="Calibri" w:cs="Arial"/>
                <w:lang w:val="en-US"/>
              </w:rPr>
            </w:pPr>
            <w:r>
              <w:rPr>
                <w:rFonts w:eastAsia="Calibri" w:cs="Arial"/>
                <w:lang w:val="en-US"/>
              </w:rPr>
              <w:t>15 - 63</w:t>
            </w:r>
          </w:p>
        </w:tc>
        <w:tc>
          <w:tcPr>
            <w:tcW w:w="1510" w:type="dxa"/>
            <w:tcBorders>
              <w:left w:val="single" w:sz="4" w:space="0" w:color="auto"/>
              <w:right w:val="single" w:sz="4" w:space="0" w:color="auto"/>
            </w:tcBorders>
          </w:tcPr>
          <w:p w14:paraId="5B2C180B" w14:textId="77777777" w:rsidR="00ED349C" w:rsidRPr="006E73CA" w:rsidRDefault="00ED349C" w:rsidP="009F7A99">
            <w:pPr>
              <w:jc w:val="center"/>
              <w:rPr>
                <w:rFonts w:eastAsia="Calibri" w:cs="Arial"/>
                <w:lang w:val="en-US"/>
              </w:rPr>
            </w:pPr>
            <w:r>
              <w:rPr>
                <w:rFonts w:eastAsia="Calibri" w:cs="Arial"/>
                <w:lang w:val="en-US"/>
              </w:rPr>
              <w:t>17 - 63</w:t>
            </w:r>
          </w:p>
        </w:tc>
        <w:tc>
          <w:tcPr>
            <w:tcW w:w="1468" w:type="dxa"/>
            <w:tcBorders>
              <w:top w:val="single" w:sz="4" w:space="0" w:color="auto"/>
              <w:left w:val="single" w:sz="4" w:space="0" w:color="auto"/>
              <w:bottom w:val="single" w:sz="4" w:space="0" w:color="auto"/>
              <w:right w:val="single" w:sz="4" w:space="0" w:color="auto"/>
            </w:tcBorders>
          </w:tcPr>
          <w:p w14:paraId="508015C9" w14:textId="77777777" w:rsidR="00ED349C" w:rsidRPr="006E73CA" w:rsidRDefault="00ED349C" w:rsidP="009F7A99">
            <w:pPr>
              <w:jc w:val="center"/>
              <w:rPr>
                <w:rFonts w:eastAsia="Calibri" w:cs="Arial"/>
                <w:lang w:val="en-US"/>
              </w:rPr>
            </w:pPr>
            <w:r>
              <w:rPr>
                <w:rFonts w:eastAsia="Calibri" w:cs="Arial"/>
                <w:lang w:val="en-US"/>
              </w:rPr>
              <w:t>20 - 63</w:t>
            </w:r>
          </w:p>
        </w:tc>
      </w:tr>
      <w:tr w:rsidR="00ED349C" w:rsidRPr="00ED349C" w14:paraId="58A0466C" w14:textId="77777777" w:rsidTr="00E91AC0">
        <w:trPr>
          <w:trHeight w:val="20"/>
        </w:trPr>
        <w:tc>
          <w:tcPr>
            <w:tcW w:w="1555" w:type="dxa"/>
            <w:tcBorders>
              <w:left w:val="single" w:sz="4" w:space="0" w:color="auto"/>
              <w:right w:val="single" w:sz="4" w:space="0" w:color="auto"/>
            </w:tcBorders>
          </w:tcPr>
          <w:p w14:paraId="24A71B4E" w14:textId="4AB362F5" w:rsidR="00ED349C" w:rsidRPr="006E73CA" w:rsidRDefault="00C9124A" w:rsidP="00CC446F">
            <w:pPr>
              <w:rPr>
                <w:rFonts w:eastAsia="Calibri" w:cs="Arial"/>
                <w:lang w:val="en-US"/>
              </w:rPr>
            </w:pPr>
            <w:r>
              <w:rPr>
                <w:rFonts w:eastAsia="Calibri" w:cs="Arial"/>
              </w:rPr>
              <w:t xml:space="preserve">       </w:t>
            </w:r>
            <w:r w:rsidR="00ED349C">
              <w:rPr>
                <w:rFonts w:eastAsia="Calibri" w:cs="Arial"/>
                <w:lang w:val="en-US"/>
              </w:rPr>
              <w:t>10 - 75</w:t>
            </w:r>
          </w:p>
        </w:tc>
        <w:tc>
          <w:tcPr>
            <w:tcW w:w="1749" w:type="dxa"/>
            <w:tcBorders>
              <w:left w:val="single" w:sz="4" w:space="0" w:color="auto"/>
              <w:right w:val="single" w:sz="4" w:space="0" w:color="auto"/>
            </w:tcBorders>
          </w:tcPr>
          <w:p w14:paraId="0CAB3943" w14:textId="3C34A539" w:rsidR="00ED349C" w:rsidRDefault="00C9124A" w:rsidP="00CC446F">
            <w:pPr>
              <w:rPr>
                <w:rFonts w:eastAsia="Calibri" w:cs="Arial"/>
                <w:lang w:val="en-US"/>
              </w:rPr>
            </w:pPr>
            <w:r>
              <w:rPr>
                <w:rFonts w:eastAsia="Calibri" w:cs="Arial"/>
              </w:rPr>
              <w:t xml:space="preserve">        </w:t>
            </w:r>
            <w:r w:rsidR="00ED349C">
              <w:rPr>
                <w:rFonts w:eastAsia="Calibri" w:cs="Arial"/>
                <w:lang w:val="en-US"/>
              </w:rPr>
              <w:t>12 - 75</w:t>
            </w:r>
          </w:p>
        </w:tc>
        <w:tc>
          <w:tcPr>
            <w:tcW w:w="1510" w:type="dxa"/>
            <w:tcBorders>
              <w:left w:val="single" w:sz="4" w:space="0" w:color="auto"/>
              <w:right w:val="single" w:sz="4" w:space="0" w:color="auto"/>
            </w:tcBorders>
          </w:tcPr>
          <w:p w14:paraId="0F6F70C2" w14:textId="77777777" w:rsidR="00ED349C" w:rsidRDefault="00ED349C" w:rsidP="009F7A99">
            <w:pPr>
              <w:jc w:val="center"/>
              <w:rPr>
                <w:rFonts w:eastAsia="Calibri" w:cs="Arial"/>
                <w:lang w:val="en-US"/>
              </w:rPr>
            </w:pPr>
            <w:r>
              <w:rPr>
                <w:rFonts w:eastAsia="Calibri" w:cs="Arial"/>
                <w:lang w:val="en-US"/>
              </w:rPr>
              <w:t>15 - 75</w:t>
            </w:r>
          </w:p>
        </w:tc>
        <w:tc>
          <w:tcPr>
            <w:tcW w:w="1510" w:type="dxa"/>
            <w:tcBorders>
              <w:left w:val="single" w:sz="4" w:space="0" w:color="auto"/>
              <w:right w:val="single" w:sz="4" w:space="0" w:color="auto"/>
            </w:tcBorders>
          </w:tcPr>
          <w:p w14:paraId="2B369A1D" w14:textId="77777777" w:rsidR="00ED349C" w:rsidRPr="006E73CA" w:rsidRDefault="00ED349C" w:rsidP="009F7A99">
            <w:pPr>
              <w:jc w:val="center"/>
              <w:rPr>
                <w:rFonts w:eastAsia="Calibri" w:cs="Arial"/>
                <w:lang w:val="en-US"/>
              </w:rPr>
            </w:pPr>
            <w:r>
              <w:rPr>
                <w:rFonts w:eastAsia="Calibri" w:cs="Arial"/>
                <w:lang w:val="en-US"/>
              </w:rPr>
              <w:t>17 - 75</w:t>
            </w:r>
          </w:p>
        </w:tc>
        <w:tc>
          <w:tcPr>
            <w:tcW w:w="1468" w:type="dxa"/>
            <w:tcBorders>
              <w:top w:val="single" w:sz="4" w:space="0" w:color="auto"/>
              <w:left w:val="single" w:sz="4" w:space="0" w:color="auto"/>
              <w:bottom w:val="single" w:sz="4" w:space="0" w:color="auto"/>
              <w:right w:val="single" w:sz="4" w:space="0" w:color="auto"/>
            </w:tcBorders>
          </w:tcPr>
          <w:p w14:paraId="277D56B1" w14:textId="77777777" w:rsidR="00ED349C" w:rsidRPr="006E73CA" w:rsidRDefault="00ED349C" w:rsidP="009F7A99">
            <w:pPr>
              <w:jc w:val="center"/>
              <w:rPr>
                <w:rFonts w:eastAsia="Calibri" w:cs="Arial"/>
                <w:lang w:val="en-US"/>
              </w:rPr>
            </w:pPr>
            <w:r>
              <w:rPr>
                <w:rFonts w:eastAsia="Calibri" w:cs="Arial"/>
                <w:lang w:val="en-US"/>
              </w:rPr>
              <w:t>20 - 75</w:t>
            </w:r>
          </w:p>
        </w:tc>
      </w:tr>
    </w:tbl>
    <w:p w14:paraId="6A05A809" w14:textId="77777777" w:rsidR="006E73CA" w:rsidRDefault="006E73CA" w:rsidP="006E73CA">
      <w:pPr>
        <w:jc w:val="center"/>
        <w:rPr>
          <w:lang w:val="en-US"/>
        </w:rPr>
      </w:pPr>
    </w:p>
    <w:p w14:paraId="64822D5D" w14:textId="77777777" w:rsidR="00EC4B74" w:rsidRDefault="007B794A" w:rsidP="00322533">
      <w:pPr>
        <w:jc w:val="both"/>
        <w:rPr>
          <w:lang w:val="en-US"/>
        </w:rPr>
      </w:pPr>
      <w:r>
        <w:rPr>
          <w:lang w:val="en-US"/>
        </w:rPr>
        <w:t>The questionnaire us</w:t>
      </w:r>
      <w:r w:rsidR="000E7EE2">
        <w:rPr>
          <w:lang w:val="en-US"/>
        </w:rPr>
        <w:t>ed for the study consists of seven</w:t>
      </w:r>
      <w:r w:rsidR="0021152F">
        <w:rPr>
          <w:lang w:val="en-US"/>
        </w:rPr>
        <w:t xml:space="preserve"> parts </w:t>
      </w:r>
      <w:r>
        <w:rPr>
          <w:lang w:val="en-US"/>
        </w:rPr>
        <w:t>and below follows a brief explanation of those.</w:t>
      </w:r>
    </w:p>
    <w:p w14:paraId="65926B0F" w14:textId="77777777" w:rsidR="005A1F56" w:rsidRDefault="005A1F56" w:rsidP="00DC4DA9">
      <w:pPr>
        <w:jc w:val="both"/>
        <w:outlineLvl w:val="0"/>
        <w:rPr>
          <w:lang w:val="en-US"/>
        </w:rPr>
      </w:pPr>
      <w:r w:rsidRPr="005A1F56">
        <w:rPr>
          <w:b/>
          <w:lang w:val="en-US"/>
        </w:rPr>
        <w:t>Part 1</w:t>
      </w:r>
      <w:r>
        <w:rPr>
          <w:b/>
          <w:lang w:val="en-US"/>
        </w:rPr>
        <w:t xml:space="preserve">. </w:t>
      </w:r>
      <w:r w:rsidR="00E35853">
        <w:rPr>
          <w:lang w:val="en-US"/>
        </w:rPr>
        <w:t>Salinity knowledge</w:t>
      </w:r>
    </w:p>
    <w:p w14:paraId="7C8D211B" w14:textId="77777777" w:rsidR="005A1F56" w:rsidRDefault="005A1F56" w:rsidP="00322533">
      <w:pPr>
        <w:jc w:val="both"/>
        <w:rPr>
          <w:lang w:val="en-US"/>
        </w:rPr>
      </w:pPr>
      <w:r>
        <w:rPr>
          <w:lang w:val="en-US"/>
        </w:rPr>
        <w:t xml:space="preserve">This part includes ten </w:t>
      </w:r>
      <w:r w:rsidR="00E35853">
        <w:rPr>
          <w:lang w:val="en-US"/>
        </w:rPr>
        <w:t>‘’True / False’’</w:t>
      </w:r>
      <w:r w:rsidR="00241F96">
        <w:rPr>
          <w:lang w:val="en-US"/>
        </w:rPr>
        <w:t xml:space="preserve"> sentences related to salinity issues. The higher the number of correct answers, the higher the knowledge that producers have of the problems associated with soil salinity.</w:t>
      </w:r>
    </w:p>
    <w:p w14:paraId="3769E243" w14:textId="77777777" w:rsidR="00241F96" w:rsidRDefault="00241F96" w:rsidP="00DC4DA9">
      <w:pPr>
        <w:jc w:val="both"/>
        <w:outlineLvl w:val="0"/>
        <w:rPr>
          <w:lang w:val="en-US"/>
        </w:rPr>
      </w:pPr>
      <w:r w:rsidRPr="00241F96">
        <w:rPr>
          <w:b/>
          <w:lang w:val="en-US"/>
        </w:rPr>
        <w:t>Part 2.</w:t>
      </w:r>
      <w:r w:rsidRPr="00241F96">
        <w:rPr>
          <w:lang w:val="en-US"/>
        </w:rPr>
        <w:t xml:space="preserve"> </w:t>
      </w:r>
      <w:r w:rsidR="00016EA8">
        <w:rPr>
          <w:lang w:val="en-US"/>
        </w:rPr>
        <w:t>Willingness to pay</w:t>
      </w:r>
    </w:p>
    <w:p w14:paraId="3A63B413" w14:textId="77777777" w:rsidR="00241F96" w:rsidRDefault="00241F96" w:rsidP="00322533">
      <w:pPr>
        <w:jc w:val="both"/>
        <w:rPr>
          <w:lang w:val="en-US"/>
        </w:rPr>
      </w:pPr>
      <w:r>
        <w:rPr>
          <w:lang w:val="en-US"/>
        </w:rPr>
        <w:t xml:space="preserve">At first producers were </w:t>
      </w:r>
      <w:r w:rsidR="00536520">
        <w:rPr>
          <w:lang w:val="en-US"/>
        </w:rPr>
        <w:t xml:space="preserve">detail </w:t>
      </w:r>
      <w:r>
        <w:rPr>
          <w:lang w:val="en-US"/>
        </w:rPr>
        <w:t xml:space="preserve">informed </w:t>
      </w:r>
      <w:r w:rsidR="00536520">
        <w:rPr>
          <w:lang w:val="en-US"/>
        </w:rPr>
        <w:t>about</w:t>
      </w:r>
      <w:r w:rsidR="00FB5A57" w:rsidRPr="00FB5A57">
        <w:rPr>
          <w:lang w:val="en-US"/>
        </w:rPr>
        <w:t xml:space="preserve"> </w:t>
      </w:r>
      <w:r w:rsidR="00FB5A57">
        <w:rPr>
          <w:lang w:val="en-US"/>
        </w:rPr>
        <w:t>the product and its</w:t>
      </w:r>
      <w:r w:rsidR="00536520">
        <w:rPr>
          <w:lang w:val="en-US"/>
        </w:rPr>
        <w:t xml:space="preserve"> </w:t>
      </w:r>
      <w:r w:rsidR="00461440">
        <w:rPr>
          <w:lang w:val="en-US"/>
        </w:rPr>
        <w:t>characteristics (</w:t>
      </w:r>
      <w:r w:rsidR="00442BE1">
        <w:rPr>
          <w:lang w:val="en-US"/>
        </w:rPr>
        <w:t xml:space="preserve">type of </w:t>
      </w:r>
      <w:r w:rsidR="0000743F">
        <w:rPr>
          <w:lang w:val="en-US"/>
        </w:rPr>
        <w:t xml:space="preserve">innovation, </w:t>
      </w:r>
      <w:r w:rsidR="00442BE1">
        <w:rPr>
          <w:lang w:val="en-US"/>
        </w:rPr>
        <w:t xml:space="preserve">mode of action, </w:t>
      </w:r>
      <w:r w:rsidR="00CB54A2">
        <w:rPr>
          <w:lang w:val="en-US"/>
        </w:rPr>
        <w:t>application</w:t>
      </w:r>
      <w:r w:rsidR="00442BE1">
        <w:rPr>
          <w:lang w:val="en-US"/>
        </w:rPr>
        <w:t xml:space="preserve"> recommendation</w:t>
      </w:r>
      <w:r w:rsidR="00461440">
        <w:rPr>
          <w:lang w:val="en-US"/>
        </w:rPr>
        <w:t>,</w:t>
      </w:r>
      <w:r w:rsidR="00FB5A57">
        <w:rPr>
          <w:lang w:val="en-US"/>
        </w:rPr>
        <w:t xml:space="preserve"> </w:t>
      </w:r>
      <w:r w:rsidR="00442BE1">
        <w:rPr>
          <w:lang w:val="en-US"/>
        </w:rPr>
        <w:t>benefits for the crops and the producers</w:t>
      </w:r>
      <w:r w:rsidR="00442BE1" w:rsidRPr="00442BE1">
        <w:rPr>
          <w:lang w:val="en-US"/>
        </w:rPr>
        <w:t xml:space="preserve">, </w:t>
      </w:r>
      <w:r w:rsidR="00442BE1">
        <w:rPr>
          <w:lang w:val="en-US"/>
        </w:rPr>
        <w:t>comparative advantages).</w:t>
      </w:r>
      <w:r w:rsidR="00312986" w:rsidRPr="00312986">
        <w:rPr>
          <w:lang w:val="en-US"/>
        </w:rPr>
        <w:t xml:space="preserve"> </w:t>
      </w:r>
      <w:r w:rsidR="00312986">
        <w:rPr>
          <w:lang w:val="en-US"/>
        </w:rPr>
        <w:t xml:space="preserve">This information is very important as we have to do with a new product on the Greek market for agricultural supplies, whose potential and advantages are unknown to the producers. Due to this reason, the information provided must be both scientifically valid </w:t>
      </w:r>
      <w:r w:rsidR="0098228E">
        <w:rPr>
          <w:lang w:val="en-US"/>
        </w:rPr>
        <w:t xml:space="preserve">and understandable by an </w:t>
      </w:r>
      <w:r w:rsidR="00AC2C2F">
        <w:rPr>
          <w:lang w:val="en-US"/>
        </w:rPr>
        <w:t>average</w:t>
      </w:r>
      <w:r w:rsidR="0098228E">
        <w:rPr>
          <w:lang w:val="en-US"/>
        </w:rPr>
        <w:t xml:space="preserve"> producer who is likely to know little or nothing about the under valuation good.</w:t>
      </w:r>
    </w:p>
    <w:p w14:paraId="5EF4EFA2" w14:textId="77777777" w:rsidR="0036644A" w:rsidRDefault="0036644A" w:rsidP="00322533">
      <w:pPr>
        <w:jc w:val="both"/>
        <w:rPr>
          <w:lang w:val="en-US"/>
        </w:rPr>
      </w:pPr>
      <w:r>
        <w:rPr>
          <w:lang w:val="en-US"/>
        </w:rPr>
        <w:t xml:space="preserve">Then, the cheap talk script </w:t>
      </w:r>
      <w:r w:rsidR="003F09EA">
        <w:rPr>
          <w:lang w:val="en-US"/>
        </w:rPr>
        <w:t xml:space="preserve">was compiled from several studies </w:t>
      </w:r>
      <w:r>
        <w:rPr>
          <w:lang w:val="en-US"/>
        </w:rPr>
        <w:t>(</w:t>
      </w:r>
      <w:r w:rsidR="003F09EA">
        <w:rPr>
          <w:lang w:val="en-US"/>
        </w:rPr>
        <w:t xml:space="preserve">e.g., </w:t>
      </w:r>
      <w:proofErr w:type="spellStart"/>
      <w:r w:rsidR="003F09EA" w:rsidRPr="00CF62A8">
        <w:rPr>
          <w:lang w:val="en-US"/>
        </w:rPr>
        <w:t>Drichoutis</w:t>
      </w:r>
      <w:proofErr w:type="spellEnd"/>
      <w:r w:rsidR="003F09EA" w:rsidRPr="00CF62A8">
        <w:rPr>
          <w:lang w:val="en-US"/>
        </w:rPr>
        <w:t xml:space="preserve"> et al. 2014;</w:t>
      </w:r>
      <w:r w:rsidR="003F09EA" w:rsidRPr="00CC446F">
        <w:rPr>
          <w:highlight w:val="yellow"/>
          <w:lang w:val="en-US"/>
        </w:rPr>
        <w:t xml:space="preserve"> </w:t>
      </w:r>
      <w:proofErr w:type="spellStart"/>
      <w:r w:rsidRPr="00CF62A8">
        <w:rPr>
          <w:lang w:val="en-US"/>
        </w:rPr>
        <w:t>Bulte</w:t>
      </w:r>
      <w:proofErr w:type="spellEnd"/>
      <w:r w:rsidRPr="00CF62A8">
        <w:rPr>
          <w:lang w:val="en-US"/>
        </w:rPr>
        <w:t xml:space="preserve"> et al., 2005</w:t>
      </w:r>
      <w:r>
        <w:rPr>
          <w:lang w:val="en-US"/>
        </w:rPr>
        <w:t>) reads as follows:</w:t>
      </w:r>
    </w:p>
    <w:p w14:paraId="01AD1644" w14:textId="77777777" w:rsidR="0036644A" w:rsidRPr="00BB191B" w:rsidRDefault="0036644A" w:rsidP="003F09EA">
      <w:pPr>
        <w:spacing w:after="120" w:line="40" w:lineRule="atLeast"/>
        <w:jc w:val="both"/>
        <w:rPr>
          <w:rFonts w:cs="Andalus"/>
          <w:i/>
          <w:lang w:val="en-US"/>
        </w:rPr>
      </w:pPr>
      <w:r w:rsidRPr="00BB191B">
        <w:rPr>
          <w:rFonts w:cs="Andalus"/>
          <w:i/>
          <w:lang w:val="en-US"/>
        </w:rPr>
        <w:t>‘’In a minute you will be asked whether you are willing to pay a certain amount for the specific fertilizer.</w:t>
      </w:r>
    </w:p>
    <w:p w14:paraId="55E3E63C" w14:textId="77777777" w:rsidR="00F73CBF" w:rsidRPr="00BB191B" w:rsidRDefault="0036644A" w:rsidP="003F09EA">
      <w:pPr>
        <w:spacing w:after="120" w:line="140" w:lineRule="atLeast"/>
        <w:jc w:val="both"/>
        <w:rPr>
          <w:rFonts w:cs="Andalus"/>
          <w:i/>
          <w:lang w:val="en-US"/>
        </w:rPr>
      </w:pPr>
      <w:r w:rsidRPr="00BB191B">
        <w:rPr>
          <w:rFonts w:cs="Andalus"/>
          <w:i/>
          <w:lang w:val="en-US"/>
        </w:rPr>
        <w:t>This question will be hypothetical, that is, you will not actually have to pay.</w:t>
      </w:r>
      <w:r w:rsidR="00F73CBF" w:rsidRPr="00BB191B">
        <w:rPr>
          <w:rFonts w:cs="Andalus"/>
          <w:i/>
          <w:lang w:val="en-US"/>
        </w:rPr>
        <w:t xml:space="preserve"> </w:t>
      </w:r>
      <w:r w:rsidRPr="00BB191B">
        <w:rPr>
          <w:rFonts w:cs="Andalus"/>
          <w:i/>
          <w:lang w:val="en-US"/>
        </w:rPr>
        <w:t>In general, people experience difficulties in answering hypothetical questions.</w:t>
      </w:r>
      <w:r w:rsidR="00F73CBF" w:rsidRPr="00BB191B">
        <w:rPr>
          <w:rFonts w:cs="Andalus"/>
          <w:i/>
          <w:lang w:val="en-US"/>
        </w:rPr>
        <w:t xml:space="preserve"> </w:t>
      </w:r>
      <w:r w:rsidRPr="00BB191B">
        <w:rPr>
          <w:rFonts w:cs="Andalus"/>
          <w:i/>
          <w:lang w:val="en-US"/>
        </w:rPr>
        <w:t>They often state they are willing to pay an amo</w:t>
      </w:r>
      <w:r w:rsidR="00F73CBF" w:rsidRPr="00BB191B">
        <w:rPr>
          <w:rFonts w:cs="Andalus"/>
          <w:i/>
          <w:lang w:val="en-US"/>
        </w:rPr>
        <w:t xml:space="preserve">unt larger than the amount they </w:t>
      </w:r>
      <w:r w:rsidRPr="00BB191B">
        <w:rPr>
          <w:rFonts w:cs="Andalus"/>
          <w:i/>
          <w:lang w:val="en-US"/>
        </w:rPr>
        <w:t>are willing to pay in reality.</w:t>
      </w:r>
    </w:p>
    <w:p w14:paraId="5285EC58" w14:textId="4263659E" w:rsidR="00F73CBF" w:rsidRPr="00BB191B" w:rsidRDefault="00F73CBF" w:rsidP="003F09EA">
      <w:pPr>
        <w:spacing w:after="120" w:line="80" w:lineRule="atLeast"/>
        <w:jc w:val="both"/>
        <w:rPr>
          <w:rFonts w:cs="Andalus"/>
          <w:i/>
          <w:lang w:val="en-US"/>
        </w:rPr>
      </w:pPr>
      <w:r w:rsidRPr="00BB191B">
        <w:rPr>
          <w:rFonts w:cs="Andalus"/>
          <w:i/>
          <w:lang w:val="en-US"/>
        </w:rPr>
        <w:t>One reason why this happens is because when the time comes to actually make the payment, they also consider that this money won’t be available for o</w:t>
      </w:r>
      <w:r w:rsidR="006A40FA">
        <w:rPr>
          <w:rFonts w:cs="Andalus"/>
          <w:i/>
          <w:lang w:val="en-US"/>
        </w:rPr>
        <w:t xml:space="preserve">ther purchases. </w:t>
      </w:r>
      <w:r w:rsidRPr="00BB191B">
        <w:rPr>
          <w:rFonts w:cs="Andalus"/>
          <w:i/>
          <w:lang w:val="en-US"/>
        </w:rPr>
        <w:t>Therefore, when the question is hypothetical, their response</w:t>
      </w:r>
      <w:r w:rsidR="00AD2920" w:rsidRPr="00AD2920">
        <w:rPr>
          <w:rFonts w:cs="Andalus"/>
          <w:i/>
          <w:lang w:val="en-US"/>
        </w:rPr>
        <w:t xml:space="preserve"> </w:t>
      </w:r>
      <w:r w:rsidR="00AD2920" w:rsidRPr="00BB191B">
        <w:rPr>
          <w:rFonts w:cs="Andalus"/>
          <w:i/>
          <w:lang w:val="en-US"/>
        </w:rPr>
        <w:t>exaggerates</w:t>
      </w:r>
      <w:r w:rsidRPr="00BB191B">
        <w:rPr>
          <w:rFonts w:cs="Andalus"/>
          <w:i/>
          <w:lang w:val="en-US"/>
        </w:rPr>
        <w:t>.</w:t>
      </w:r>
    </w:p>
    <w:p w14:paraId="2894DBEE" w14:textId="77777777" w:rsidR="00F73CBF" w:rsidRPr="00BB191B" w:rsidRDefault="00F73CBF" w:rsidP="003F09EA">
      <w:pPr>
        <w:spacing w:after="120" w:line="240" w:lineRule="atLeast"/>
        <w:jc w:val="both"/>
        <w:rPr>
          <w:rFonts w:cs="Andalus"/>
          <w:i/>
          <w:lang w:val="en-US"/>
        </w:rPr>
      </w:pPr>
      <w:r w:rsidRPr="00BB191B">
        <w:rPr>
          <w:rFonts w:cs="Andalus"/>
          <w:i/>
          <w:lang w:val="en-US"/>
        </w:rPr>
        <w:lastRenderedPageBreak/>
        <w:t>Before answering the willingness to pay question, try to think whether you are really willing to pay this amount for the fertilizer and that this amount will no longer be available for other purchases.</w:t>
      </w:r>
      <w:r w:rsidR="003F09EA" w:rsidRPr="00BB191B">
        <w:rPr>
          <w:rFonts w:cs="Andalus"/>
          <w:i/>
          <w:lang w:val="en-US"/>
        </w:rPr>
        <w:t>’’</w:t>
      </w:r>
    </w:p>
    <w:p w14:paraId="56F240A5" w14:textId="77777777" w:rsidR="00622266" w:rsidRDefault="00CA2A8B" w:rsidP="00457906">
      <w:pPr>
        <w:spacing w:after="120" w:line="240" w:lineRule="atLeast"/>
        <w:jc w:val="both"/>
        <w:rPr>
          <w:rFonts w:cs="Andalus"/>
          <w:lang w:val="en-US"/>
        </w:rPr>
      </w:pPr>
      <w:r>
        <w:rPr>
          <w:rFonts w:cs="Andalus"/>
          <w:lang w:val="en-US"/>
        </w:rPr>
        <w:t xml:space="preserve">The consequentiality script was adopted by </w:t>
      </w:r>
      <w:proofErr w:type="spellStart"/>
      <w:r w:rsidRPr="00CF62A8">
        <w:rPr>
          <w:rFonts w:cs="Andalus"/>
          <w:lang w:val="en-US"/>
        </w:rPr>
        <w:t>Vossler</w:t>
      </w:r>
      <w:proofErr w:type="spellEnd"/>
      <w:r w:rsidRPr="00CF62A8">
        <w:rPr>
          <w:rFonts w:cs="Andalus"/>
          <w:lang w:val="en-US"/>
        </w:rPr>
        <w:t xml:space="preserve"> and Watson (2013)</w:t>
      </w:r>
      <w:r>
        <w:rPr>
          <w:rFonts w:cs="Andalus"/>
          <w:lang w:val="en-US"/>
        </w:rPr>
        <w:t xml:space="preserve"> and </w:t>
      </w:r>
      <w:proofErr w:type="spellStart"/>
      <w:r w:rsidRPr="00CF62A8">
        <w:rPr>
          <w:rFonts w:cs="Andalus"/>
          <w:lang w:val="en-US"/>
        </w:rPr>
        <w:t>Vossler</w:t>
      </w:r>
      <w:proofErr w:type="spellEnd"/>
      <w:r w:rsidRPr="00CF62A8">
        <w:rPr>
          <w:rFonts w:cs="Andalus"/>
          <w:lang w:val="en-US"/>
        </w:rPr>
        <w:t xml:space="preserve"> and Evans (2009)</w:t>
      </w:r>
      <w:r>
        <w:rPr>
          <w:rFonts w:cs="Andalus"/>
          <w:lang w:val="en-US"/>
        </w:rPr>
        <w:t xml:space="preserve"> and read as follows:</w:t>
      </w:r>
    </w:p>
    <w:p w14:paraId="53C708E3" w14:textId="77777777" w:rsidR="00CA2A8B" w:rsidRPr="003B2F2A" w:rsidRDefault="00CA2A8B" w:rsidP="003F09EA">
      <w:pPr>
        <w:spacing w:after="120" w:line="240" w:lineRule="atLeast"/>
        <w:jc w:val="both"/>
        <w:rPr>
          <w:rFonts w:cs="Andalus"/>
          <w:i/>
          <w:lang w:val="en-US"/>
        </w:rPr>
      </w:pPr>
      <w:r w:rsidRPr="003B2F2A">
        <w:rPr>
          <w:rFonts w:cs="Andalus"/>
          <w:i/>
          <w:lang w:val="en-US"/>
        </w:rPr>
        <w:t xml:space="preserve">‘’We would like to inform you that the survey results will become available to producers, traders and retailers of agricultural supplies as well as to the wider general public of consumers. This means that this survey could affect the decision of producers, traders and retailers to adopt practices </w:t>
      </w:r>
      <w:r w:rsidR="00674661" w:rsidRPr="003B2F2A">
        <w:rPr>
          <w:rFonts w:cs="Andalus"/>
          <w:i/>
          <w:lang w:val="en-US"/>
        </w:rPr>
        <w:t>for the production of innovative agricultural products and as a result of the average price of the fertilizer.’’</w:t>
      </w:r>
    </w:p>
    <w:p w14:paraId="7C4BC5A3" w14:textId="77777777" w:rsidR="00E07331" w:rsidRDefault="00E07331" w:rsidP="003F09EA">
      <w:pPr>
        <w:spacing w:after="120" w:line="240" w:lineRule="atLeast"/>
        <w:jc w:val="both"/>
        <w:rPr>
          <w:rFonts w:cs="Andalus"/>
          <w:lang w:val="en-US"/>
        </w:rPr>
      </w:pPr>
      <w:r>
        <w:rPr>
          <w:rFonts w:cs="Andalus"/>
          <w:lang w:val="en-US"/>
        </w:rPr>
        <w:t>After the above scripts were read, the valuation questions</w:t>
      </w:r>
      <w:r w:rsidR="0099518B">
        <w:rPr>
          <w:rFonts w:cs="Andalus"/>
          <w:lang w:val="en-US"/>
        </w:rPr>
        <w:t xml:space="preserve"> </w:t>
      </w:r>
      <w:r>
        <w:rPr>
          <w:rFonts w:cs="Andalus"/>
          <w:lang w:val="en-US"/>
        </w:rPr>
        <w:t>followed.</w:t>
      </w:r>
      <w:r w:rsidR="00D77D10">
        <w:rPr>
          <w:rFonts w:cs="Andalus"/>
          <w:lang w:val="en-US"/>
        </w:rPr>
        <w:t xml:space="preserve"> We used a dichotomous choice question as recommended by the NOOA (</w:t>
      </w:r>
      <w:r w:rsidR="00D77D10" w:rsidRPr="00CF62A8">
        <w:rPr>
          <w:rFonts w:cs="Andalus"/>
          <w:lang w:val="en-US"/>
        </w:rPr>
        <w:t>Arrow et al., 1993</w:t>
      </w:r>
      <w:r w:rsidR="00D77D10">
        <w:rPr>
          <w:rFonts w:cs="Andalus"/>
          <w:lang w:val="en-US"/>
        </w:rPr>
        <w:t>). Farmers were asked to the following yes/no question</w:t>
      </w:r>
      <w:r w:rsidR="00EB51AB">
        <w:rPr>
          <w:rFonts w:cs="Andalus"/>
          <w:lang w:val="en-US"/>
        </w:rPr>
        <w:t>s</w:t>
      </w:r>
      <w:r w:rsidR="00D77D10">
        <w:rPr>
          <w:rFonts w:cs="Andalus"/>
          <w:lang w:val="en-US"/>
        </w:rPr>
        <w:t>:</w:t>
      </w:r>
    </w:p>
    <w:p w14:paraId="30E9A0AB" w14:textId="77777777" w:rsidR="00D77D10" w:rsidRPr="00D77D10" w:rsidRDefault="00D77D10" w:rsidP="00DC4DA9">
      <w:pPr>
        <w:spacing w:after="120" w:line="240" w:lineRule="atLeast"/>
        <w:jc w:val="both"/>
        <w:outlineLvl w:val="0"/>
        <w:rPr>
          <w:rFonts w:cs="Andalus"/>
          <w:b/>
          <w:lang w:val="en-US"/>
        </w:rPr>
      </w:pPr>
      <w:r w:rsidRPr="00D77D10">
        <w:rPr>
          <w:rFonts w:cs="Andalus"/>
          <w:b/>
          <w:lang w:val="en-US"/>
        </w:rPr>
        <w:t>WTP for packaging of 1lt:</w:t>
      </w:r>
    </w:p>
    <w:p w14:paraId="4605DF0F" w14:textId="77777777" w:rsidR="00D77D10" w:rsidRPr="003B2F2A" w:rsidRDefault="00D77D10" w:rsidP="003F09EA">
      <w:pPr>
        <w:spacing w:after="120" w:line="240" w:lineRule="atLeast"/>
        <w:jc w:val="both"/>
        <w:rPr>
          <w:rFonts w:cs="Andalus"/>
          <w:i/>
          <w:lang w:val="en-US"/>
        </w:rPr>
      </w:pPr>
      <w:r w:rsidRPr="003B2F2A">
        <w:rPr>
          <w:rFonts w:cs="Andalus"/>
          <w:i/>
          <w:lang w:val="en-US"/>
        </w:rPr>
        <w:t xml:space="preserve">‘’Would you be willing to pay </w:t>
      </w:r>
      <w:r w:rsidR="00AF1E59" w:rsidRPr="003B2F2A">
        <w:rPr>
          <w:rFonts w:cs="Andalus"/>
          <w:i/>
          <w:lang w:val="en-US"/>
        </w:rPr>
        <w:t>___€ (including VAT) to buy 1lt bottle of the specific liquid fertilizer?’’</w:t>
      </w:r>
      <w:r w:rsidR="005852CB" w:rsidRPr="003B2F2A">
        <w:rPr>
          <w:rFonts w:cs="Andalus"/>
          <w:i/>
          <w:lang w:val="en-US"/>
        </w:rPr>
        <w:t xml:space="preserve"> </w:t>
      </w:r>
    </w:p>
    <w:p w14:paraId="1E45D914" w14:textId="77777777" w:rsidR="00992F06" w:rsidRDefault="00992F06" w:rsidP="00DC4DA9">
      <w:pPr>
        <w:spacing w:after="120" w:line="240" w:lineRule="atLeast"/>
        <w:jc w:val="both"/>
        <w:outlineLvl w:val="0"/>
        <w:rPr>
          <w:rFonts w:cs="Andalus"/>
          <w:b/>
          <w:lang w:val="en-US"/>
        </w:rPr>
      </w:pPr>
      <w:r w:rsidRPr="00992F06">
        <w:rPr>
          <w:rFonts w:cs="Andalus"/>
          <w:b/>
          <w:lang w:val="en-US"/>
        </w:rPr>
        <w:t>WTP for packaging of 5lt:</w:t>
      </w:r>
    </w:p>
    <w:p w14:paraId="5689B61E" w14:textId="77777777" w:rsidR="00992F06" w:rsidRPr="003B2F2A" w:rsidRDefault="00992F06" w:rsidP="003F09EA">
      <w:pPr>
        <w:spacing w:after="120" w:line="240" w:lineRule="atLeast"/>
        <w:jc w:val="both"/>
        <w:rPr>
          <w:rFonts w:cs="Andalus"/>
          <w:i/>
          <w:lang w:val="en-US"/>
        </w:rPr>
      </w:pPr>
      <w:r w:rsidRPr="003B2F2A">
        <w:rPr>
          <w:rFonts w:cs="Andalus"/>
          <w:i/>
          <w:lang w:val="en-US"/>
        </w:rPr>
        <w:t>‘’Would you be willing to pay ___€ (including VAT) to buy 5lt of the specific liquid fertilizer?’’</w:t>
      </w:r>
      <w:r w:rsidR="005852CB" w:rsidRPr="003B2F2A">
        <w:rPr>
          <w:rFonts w:cs="Andalus"/>
          <w:i/>
          <w:lang w:val="en-US"/>
        </w:rPr>
        <w:t xml:space="preserve"> </w:t>
      </w:r>
    </w:p>
    <w:p w14:paraId="66BD834E" w14:textId="77777777" w:rsidR="00C32189" w:rsidRDefault="009C69B3" w:rsidP="003F09EA">
      <w:pPr>
        <w:spacing w:after="120" w:line="240" w:lineRule="atLeast"/>
        <w:jc w:val="both"/>
        <w:rPr>
          <w:rFonts w:cs="Andalus"/>
          <w:lang w:val="en-US"/>
        </w:rPr>
      </w:pPr>
      <w:r>
        <w:rPr>
          <w:rFonts w:cs="Andalus"/>
          <w:lang w:val="en-US"/>
        </w:rPr>
        <w:t>According to the literature on certainty scales (</w:t>
      </w:r>
      <w:r w:rsidRPr="00CF62A8">
        <w:rPr>
          <w:rFonts w:cs="Andalus"/>
          <w:lang w:val="en-US"/>
        </w:rPr>
        <w:t>Champ et al., 1997</w:t>
      </w:r>
      <w:r>
        <w:rPr>
          <w:rFonts w:cs="Andalus"/>
          <w:lang w:val="en-US"/>
        </w:rPr>
        <w:t xml:space="preserve">), every CV discrete choice question was followed by a question asking the participants to state how certain they were about their answer on a 10-point scale </w:t>
      </w:r>
      <w:r w:rsidR="00B345C8">
        <w:rPr>
          <w:rFonts w:cs="Andalus"/>
          <w:lang w:val="en-US"/>
        </w:rPr>
        <w:t>characterized by the labels ‘’Not certain at all’’ and ‘’Very certain’’.</w:t>
      </w:r>
    </w:p>
    <w:p w14:paraId="3A778DAE" w14:textId="77777777" w:rsidR="00AB6B31" w:rsidRDefault="00AB6B31" w:rsidP="003F09EA">
      <w:pPr>
        <w:spacing w:after="120" w:line="240" w:lineRule="atLeast"/>
        <w:jc w:val="both"/>
        <w:rPr>
          <w:rFonts w:cs="Andalus"/>
          <w:lang w:val="en-US"/>
        </w:rPr>
      </w:pPr>
      <w:r>
        <w:rPr>
          <w:rFonts w:cs="Andalus"/>
          <w:lang w:val="en-US"/>
        </w:rPr>
        <w:t xml:space="preserve">Similar to CV questions to the questions, the IV questions were formatted to elicit the WTP for </w:t>
      </w:r>
      <w:r w:rsidR="00E0333E">
        <w:rPr>
          <w:rFonts w:cs="Andalus"/>
          <w:lang w:val="en-US"/>
        </w:rPr>
        <w:t xml:space="preserve">each package of </w:t>
      </w:r>
      <w:r>
        <w:rPr>
          <w:rFonts w:cs="Andalus"/>
          <w:lang w:val="en-US"/>
        </w:rPr>
        <w:t>the fertilizer.</w:t>
      </w:r>
    </w:p>
    <w:p w14:paraId="518FC5F6" w14:textId="77777777" w:rsidR="00D30EEE" w:rsidRPr="003B2F2A" w:rsidRDefault="00D30EEE" w:rsidP="003F09EA">
      <w:pPr>
        <w:spacing w:after="120" w:line="240" w:lineRule="atLeast"/>
        <w:jc w:val="both"/>
        <w:rPr>
          <w:rFonts w:cs="Andalus"/>
          <w:i/>
          <w:lang w:val="en-US"/>
        </w:rPr>
      </w:pPr>
      <w:r w:rsidRPr="003B2F2A">
        <w:rPr>
          <w:rFonts w:cs="Andalus"/>
          <w:i/>
          <w:lang w:val="en-US"/>
        </w:rPr>
        <w:t>‘’Do you think that an average producer would be willing to pay ___€ (including VAT) to buy 1lt bottle of the specific liquid fertilizer?’’</w:t>
      </w:r>
    </w:p>
    <w:p w14:paraId="2ACF46B1" w14:textId="77777777" w:rsidR="00D30EEE" w:rsidRPr="003B2F2A" w:rsidRDefault="00D30EEE" w:rsidP="003F09EA">
      <w:pPr>
        <w:spacing w:after="120" w:line="240" w:lineRule="atLeast"/>
        <w:jc w:val="both"/>
        <w:rPr>
          <w:rFonts w:cs="Andalus"/>
          <w:i/>
          <w:lang w:val="en-US"/>
        </w:rPr>
      </w:pPr>
      <w:r w:rsidRPr="003B2F2A">
        <w:rPr>
          <w:rFonts w:cs="Andalus"/>
          <w:i/>
          <w:lang w:val="en-US"/>
        </w:rPr>
        <w:t>‘’ Do you think that an average producer would be willing to pay ___€ (including VAT) to buy 5lt bottle of the specific liquid ferti</w:t>
      </w:r>
      <w:r w:rsidR="00E0333E" w:rsidRPr="003B2F2A">
        <w:rPr>
          <w:rFonts w:cs="Andalus"/>
          <w:i/>
          <w:lang w:val="en-US"/>
        </w:rPr>
        <w:t>li</w:t>
      </w:r>
      <w:r w:rsidRPr="003B2F2A">
        <w:rPr>
          <w:rFonts w:cs="Andalus"/>
          <w:i/>
          <w:lang w:val="en-US"/>
        </w:rPr>
        <w:t>zer?’’</w:t>
      </w:r>
    </w:p>
    <w:p w14:paraId="578C3095" w14:textId="77777777" w:rsidR="003F09EA" w:rsidRDefault="00930ED3" w:rsidP="003F09EA">
      <w:pPr>
        <w:spacing w:after="120" w:line="240" w:lineRule="atLeast"/>
        <w:jc w:val="both"/>
        <w:rPr>
          <w:lang w:val="en-US"/>
        </w:rPr>
      </w:pPr>
      <w:r>
        <w:rPr>
          <w:lang w:val="en-US"/>
        </w:rPr>
        <w:t xml:space="preserve">A consequentiality question </w:t>
      </w:r>
      <w:r w:rsidR="00232B0A">
        <w:rPr>
          <w:lang w:val="en-US"/>
        </w:rPr>
        <w:t>(</w:t>
      </w:r>
      <w:proofErr w:type="spellStart"/>
      <w:r w:rsidR="00232B0A" w:rsidRPr="00CF62A8">
        <w:rPr>
          <w:lang w:val="en-US"/>
        </w:rPr>
        <w:t>Vossler</w:t>
      </w:r>
      <w:proofErr w:type="spellEnd"/>
      <w:r w:rsidR="00232B0A" w:rsidRPr="00CF62A8">
        <w:rPr>
          <w:lang w:val="en-US"/>
        </w:rPr>
        <w:t xml:space="preserve"> et al., 2012; </w:t>
      </w:r>
      <w:proofErr w:type="spellStart"/>
      <w:r w:rsidR="00232B0A" w:rsidRPr="00CF62A8">
        <w:rPr>
          <w:lang w:val="en-US"/>
        </w:rPr>
        <w:t>Vossler</w:t>
      </w:r>
      <w:proofErr w:type="spellEnd"/>
      <w:r w:rsidR="00232B0A" w:rsidRPr="00CF62A8">
        <w:rPr>
          <w:lang w:val="en-US"/>
        </w:rPr>
        <w:t xml:space="preserve"> and Watson 2013</w:t>
      </w:r>
      <w:r w:rsidR="00232B0A">
        <w:rPr>
          <w:lang w:val="en-US"/>
        </w:rPr>
        <w:t xml:space="preserve">) </w:t>
      </w:r>
      <w:r>
        <w:rPr>
          <w:lang w:val="en-US"/>
        </w:rPr>
        <w:t>was also followed to help us to test for differences between</w:t>
      </w:r>
      <w:r w:rsidR="00F22A14">
        <w:rPr>
          <w:lang w:val="en-US"/>
        </w:rPr>
        <w:t xml:space="preserve"> participants with different consequentiality perceptions of the survey.</w:t>
      </w:r>
      <w:r>
        <w:rPr>
          <w:lang w:val="en-US"/>
        </w:rPr>
        <w:t xml:space="preserve"> </w:t>
      </w:r>
      <w:r w:rsidR="00F254EE">
        <w:rPr>
          <w:lang w:val="en-US"/>
        </w:rPr>
        <w:t xml:space="preserve">Respondents had to point out the indirect consequences of the survey on a 5-point Likert scale characterized by the labels ‘’not at all’’ and ‘’very much’’. </w:t>
      </w:r>
      <w:r w:rsidR="00DB2FAE">
        <w:rPr>
          <w:lang w:val="en-US"/>
        </w:rPr>
        <w:t>The question read as follows:</w:t>
      </w:r>
    </w:p>
    <w:p w14:paraId="2BBD7051" w14:textId="77777777" w:rsidR="00DB2FAE" w:rsidRPr="003B2F2A" w:rsidRDefault="00DB2FAE" w:rsidP="003F09EA">
      <w:pPr>
        <w:spacing w:after="120" w:line="240" w:lineRule="atLeast"/>
        <w:jc w:val="both"/>
        <w:rPr>
          <w:rFonts w:cs="Andalus"/>
          <w:i/>
          <w:lang w:val="en-US"/>
        </w:rPr>
      </w:pPr>
      <w:r w:rsidRPr="003B2F2A">
        <w:rPr>
          <w:rFonts w:cs="Andalus"/>
          <w:i/>
          <w:lang w:val="en-US"/>
        </w:rPr>
        <w:t>‘’To what extend do you believe that your answers in this survey will be taken into account by producers, traders and retailers?’’</w:t>
      </w:r>
    </w:p>
    <w:p w14:paraId="6842C5FB" w14:textId="77777777" w:rsidR="00853F01" w:rsidRDefault="00014678" w:rsidP="003F09EA">
      <w:pPr>
        <w:spacing w:after="120" w:line="240" w:lineRule="atLeast"/>
        <w:jc w:val="both"/>
        <w:rPr>
          <w:rFonts w:cs="Andalus"/>
          <w:lang w:val="en-US"/>
        </w:rPr>
      </w:pPr>
      <w:r>
        <w:rPr>
          <w:rFonts w:cs="Andalus"/>
          <w:lang w:val="en-US"/>
        </w:rPr>
        <w:t xml:space="preserve">Subsequently, </w:t>
      </w:r>
      <w:r w:rsidR="009B26F1">
        <w:rPr>
          <w:rFonts w:cs="Andalus"/>
          <w:lang w:val="en-US"/>
        </w:rPr>
        <w:t xml:space="preserve">using the social desirability scale of </w:t>
      </w:r>
      <w:proofErr w:type="spellStart"/>
      <w:r w:rsidR="0004694E" w:rsidRPr="00CF62A8">
        <w:rPr>
          <w:rFonts w:cs="Andalus"/>
          <w:lang w:val="en-US"/>
        </w:rPr>
        <w:t>Stöber</w:t>
      </w:r>
      <w:proofErr w:type="spellEnd"/>
      <w:r w:rsidR="009B26F1" w:rsidRPr="00CF62A8">
        <w:rPr>
          <w:rFonts w:cs="Andalus"/>
          <w:lang w:val="en-US"/>
        </w:rPr>
        <w:t xml:space="preserve"> (2001)</w:t>
      </w:r>
      <w:r w:rsidR="009B26F1">
        <w:rPr>
          <w:rFonts w:cs="Andalus"/>
          <w:lang w:val="en-US"/>
        </w:rPr>
        <w:t xml:space="preserve"> </w:t>
      </w:r>
      <w:r>
        <w:rPr>
          <w:rFonts w:cs="Andalus"/>
          <w:lang w:val="en-US"/>
        </w:rPr>
        <w:t>the questionnaire elicited participants’ beliefs about the probability of social desirability bias</w:t>
      </w:r>
      <w:r w:rsidR="009B26F1">
        <w:rPr>
          <w:rFonts w:cs="Andalus"/>
          <w:lang w:val="en-US"/>
        </w:rPr>
        <w:t xml:space="preserve"> and hypothetical bias.</w:t>
      </w:r>
      <w:r>
        <w:rPr>
          <w:rFonts w:cs="Andalus"/>
          <w:lang w:val="en-US"/>
        </w:rPr>
        <w:t xml:space="preserve">  </w:t>
      </w:r>
      <w:r w:rsidR="00E45B7A">
        <w:rPr>
          <w:rFonts w:cs="Andalus"/>
          <w:lang w:val="en-US"/>
        </w:rPr>
        <w:t xml:space="preserve">  </w:t>
      </w:r>
    </w:p>
    <w:p w14:paraId="5CF66DEA" w14:textId="77777777" w:rsidR="003C482A" w:rsidRDefault="00853F01" w:rsidP="00DC4DA9">
      <w:pPr>
        <w:spacing w:after="120" w:line="240" w:lineRule="atLeast"/>
        <w:jc w:val="both"/>
        <w:outlineLvl w:val="0"/>
        <w:rPr>
          <w:rFonts w:cs="Andalus"/>
          <w:lang w:val="en-US"/>
        </w:rPr>
      </w:pPr>
      <w:r w:rsidRPr="00853F01">
        <w:rPr>
          <w:rFonts w:cs="Andalus"/>
          <w:b/>
          <w:lang w:val="en-US"/>
        </w:rPr>
        <w:t>Part 3.</w:t>
      </w:r>
      <w:r>
        <w:rPr>
          <w:rFonts w:cs="Andalus"/>
          <w:lang w:val="en-US"/>
        </w:rPr>
        <w:t xml:space="preserve"> </w:t>
      </w:r>
      <w:r w:rsidR="00E156F6">
        <w:rPr>
          <w:rFonts w:cs="Andalus"/>
          <w:lang w:val="en-US"/>
        </w:rPr>
        <w:t>Farm</w:t>
      </w:r>
      <w:r>
        <w:rPr>
          <w:rFonts w:cs="Andalus"/>
          <w:lang w:val="en-US"/>
        </w:rPr>
        <w:t xml:space="preserve"> characteristics</w:t>
      </w:r>
      <w:r w:rsidR="00E45B7A">
        <w:rPr>
          <w:rFonts w:cs="Andalus"/>
          <w:lang w:val="en-US"/>
        </w:rPr>
        <w:t xml:space="preserve">  </w:t>
      </w:r>
    </w:p>
    <w:p w14:paraId="7C743A5F" w14:textId="77777777" w:rsidR="00F73CBF" w:rsidRPr="003C482A" w:rsidRDefault="00853F01" w:rsidP="003C482A">
      <w:pPr>
        <w:spacing w:after="120" w:line="240" w:lineRule="atLeast"/>
        <w:jc w:val="both"/>
        <w:rPr>
          <w:rFonts w:cs="Andalus"/>
          <w:lang w:val="en-US"/>
        </w:rPr>
      </w:pPr>
      <w:r>
        <w:rPr>
          <w:lang w:val="en-US"/>
        </w:rPr>
        <w:t xml:space="preserve">This part includes questions </w:t>
      </w:r>
      <w:r w:rsidR="00B32CBA">
        <w:rPr>
          <w:lang w:val="en-US"/>
        </w:rPr>
        <w:t xml:space="preserve">in which farmers provide information related to the type of crop. They were then asked about the size (in acres) of the </w:t>
      </w:r>
      <w:r w:rsidR="007F4B7D">
        <w:rPr>
          <w:lang w:val="en-US"/>
        </w:rPr>
        <w:t>farm</w:t>
      </w:r>
      <w:r w:rsidR="00B32CBA">
        <w:rPr>
          <w:lang w:val="en-US"/>
        </w:rPr>
        <w:t>.</w:t>
      </w:r>
    </w:p>
    <w:p w14:paraId="7BC32F89" w14:textId="77777777" w:rsidR="004F4C76" w:rsidRDefault="004F4C76" w:rsidP="00DC4DA9">
      <w:pPr>
        <w:spacing w:after="120"/>
        <w:jc w:val="both"/>
        <w:outlineLvl w:val="0"/>
        <w:rPr>
          <w:lang w:val="en-US"/>
        </w:rPr>
      </w:pPr>
      <w:r w:rsidRPr="004F4C76">
        <w:rPr>
          <w:b/>
          <w:lang w:val="en-US"/>
        </w:rPr>
        <w:t xml:space="preserve">Part 4. </w:t>
      </w:r>
      <w:r w:rsidR="00687031">
        <w:rPr>
          <w:lang w:val="en-US"/>
        </w:rPr>
        <w:t>Sources of information</w:t>
      </w:r>
    </w:p>
    <w:p w14:paraId="53968033" w14:textId="77777777" w:rsidR="00687031" w:rsidRPr="00345C62" w:rsidRDefault="00345C62" w:rsidP="003C482A">
      <w:pPr>
        <w:spacing w:after="120"/>
        <w:jc w:val="both"/>
        <w:rPr>
          <w:lang w:val="en-US"/>
        </w:rPr>
      </w:pPr>
      <w:r>
        <w:rPr>
          <w:lang w:val="en-US"/>
        </w:rPr>
        <w:t xml:space="preserve">A question was also included to allow us to clarify the farmers’ level of information from specific sources related to agricultural issues. For this reason, participants had to state their </w:t>
      </w:r>
      <w:r>
        <w:rPr>
          <w:lang w:val="en-US"/>
        </w:rPr>
        <w:lastRenderedPageBreak/>
        <w:t>response on a 5-point Likert scale anchored with the labels ‘’absolutely disagree’’ and ‘’totally agree’’.</w:t>
      </w:r>
    </w:p>
    <w:p w14:paraId="395D3A83" w14:textId="77777777" w:rsidR="00687031" w:rsidRDefault="00777E9E" w:rsidP="00DC4DA9">
      <w:pPr>
        <w:spacing w:after="120"/>
        <w:jc w:val="both"/>
        <w:outlineLvl w:val="0"/>
        <w:rPr>
          <w:lang w:val="en-US"/>
        </w:rPr>
      </w:pPr>
      <w:r w:rsidRPr="008E3994">
        <w:rPr>
          <w:b/>
          <w:lang w:val="en-US"/>
        </w:rPr>
        <w:t xml:space="preserve">Part 5. </w:t>
      </w:r>
      <w:r w:rsidR="00002DA3">
        <w:rPr>
          <w:lang w:val="en-US"/>
        </w:rPr>
        <w:t xml:space="preserve">Farmers’ buying </w:t>
      </w:r>
      <w:r w:rsidR="00F14D53">
        <w:rPr>
          <w:lang w:val="en-US"/>
        </w:rPr>
        <w:t>behavior</w:t>
      </w:r>
    </w:p>
    <w:p w14:paraId="388FDD6D" w14:textId="77777777" w:rsidR="00217D69" w:rsidRPr="00A11E58" w:rsidRDefault="00850ED2" w:rsidP="00850ED2">
      <w:pPr>
        <w:spacing w:after="120"/>
        <w:jc w:val="both"/>
        <w:rPr>
          <w:lang w:val="en-US"/>
        </w:rPr>
      </w:pPr>
      <w:r>
        <w:rPr>
          <w:lang w:val="en-US"/>
        </w:rPr>
        <w:t xml:space="preserve">This </w:t>
      </w:r>
      <w:r w:rsidR="00855EF3">
        <w:rPr>
          <w:lang w:val="en-US"/>
        </w:rPr>
        <w:t>section</w:t>
      </w:r>
      <w:r>
        <w:rPr>
          <w:lang w:val="en-US"/>
        </w:rPr>
        <w:t xml:space="preserve"> includes the sum total of a farmer’s attitudes, preferences, intentions and decisions regarding the</w:t>
      </w:r>
      <w:r w:rsidR="003C4DEF">
        <w:rPr>
          <w:lang w:val="en-US"/>
        </w:rPr>
        <w:t>ir</w:t>
      </w:r>
      <w:r>
        <w:rPr>
          <w:lang w:val="en-US"/>
        </w:rPr>
        <w:t xml:space="preserve"> behavior in the marketplace when purchasing a product or a service.</w:t>
      </w:r>
      <w:r w:rsidR="0005010C">
        <w:rPr>
          <w:lang w:val="en-US"/>
        </w:rPr>
        <w:t xml:space="preserve"> </w:t>
      </w:r>
      <w:r w:rsidR="00855EF3">
        <w:rPr>
          <w:lang w:val="en-US"/>
        </w:rPr>
        <w:t xml:space="preserve">At first, participants were asked to indicate the place from which they buy their fertilizers. </w:t>
      </w:r>
      <w:r w:rsidR="003C4DEF">
        <w:rPr>
          <w:lang w:val="en-US"/>
        </w:rPr>
        <w:t xml:space="preserve">Also, they had to state </w:t>
      </w:r>
      <w:r w:rsidR="00781A1D">
        <w:rPr>
          <w:lang w:val="en-US"/>
        </w:rPr>
        <w:t>certain factors that influence their decision to purchase a fertilizer. The answers were on a 5-graded Likert scale from 1-5 where 1 was ‘’no significant’’ and 5 was ‘’very significant’’.</w:t>
      </w:r>
      <w:r w:rsidR="003A3F59">
        <w:rPr>
          <w:lang w:val="en-US"/>
        </w:rPr>
        <w:t xml:space="preserve"> </w:t>
      </w:r>
      <w:r w:rsidR="007C1E9E">
        <w:rPr>
          <w:lang w:val="en-US"/>
        </w:rPr>
        <w:t xml:space="preserve">This part concludes with </w:t>
      </w:r>
      <w:r w:rsidR="003C4DEF">
        <w:rPr>
          <w:lang w:val="en-US"/>
        </w:rPr>
        <w:t>two</w:t>
      </w:r>
      <w:r w:rsidR="007C1E9E">
        <w:rPr>
          <w:lang w:val="en-US"/>
        </w:rPr>
        <w:t xml:space="preserve"> additional questions concerning the capacity of the liquid fe</w:t>
      </w:r>
      <w:r w:rsidR="00C032B8">
        <w:rPr>
          <w:lang w:val="en-US"/>
        </w:rPr>
        <w:t xml:space="preserve">rtilizer </w:t>
      </w:r>
      <w:r w:rsidR="003C4DEF">
        <w:rPr>
          <w:lang w:val="en-US"/>
        </w:rPr>
        <w:t xml:space="preserve">package </w:t>
      </w:r>
      <w:r w:rsidR="00261F1C">
        <w:rPr>
          <w:lang w:val="en-US"/>
        </w:rPr>
        <w:t>that farmers usually buy.</w:t>
      </w:r>
    </w:p>
    <w:p w14:paraId="538FC6D6" w14:textId="77777777" w:rsidR="0005010C" w:rsidRDefault="00217D69" w:rsidP="00DC4DA9">
      <w:pPr>
        <w:spacing w:after="120"/>
        <w:jc w:val="both"/>
        <w:outlineLvl w:val="0"/>
        <w:rPr>
          <w:lang w:val="en-US"/>
        </w:rPr>
      </w:pPr>
      <w:r w:rsidRPr="00217D69">
        <w:rPr>
          <w:b/>
          <w:lang w:val="en-US"/>
        </w:rPr>
        <w:t>Part 6.</w:t>
      </w:r>
      <w:r>
        <w:rPr>
          <w:b/>
          <w:lang w:val="en-US"/>
        </w:rPr>
        <w:t xml:space="preserve"> </w:t>
      </w:r>
      <w:r w:rsidR="00910BA9">
        <w:rPr>
          <w:lang w:val="en-US"/>
        </w:rPr>
        <w:t>Salinity problem background</w:t>
      </w:r>
    </w:p>
    <w:p w14:paraId="7055325B" w14:textId="77777777" w:rsidR="00910BA9" w:rsidRDefault="006C7F8C" w:rsidP="00850ED2">
      <w:pPr>
        <w:spacing w:after="120"/>
        <w:jc w:val="both"/>
        <w:rPr>
          <w:lang w:val="en-US"/>
        </w:rPr>
      </w:pPr>
      <w:r>
        <w:rPr>
          <w:lang w:val="en-US"/>
        </w:rPr>
        <w:t xml:space="preserve">The sixth part is mainly concentrating on farmers’ salinity problem. In particular, </w:t>
      </w:r>
      <w:r w:rsidR="00217827">
        <w:rPr>
          <w:lang w:val="en-US"/>
        </w:rPr>
        <w:t>these questions attempted to explain whether participants have faced or face salinity problems in their crops</w:t>
      </w:r>
      <w:r w:rsidR="00CB63A7">
        <w:rPr>
          <w:lang w:val="en-US"/>
        </w:rPr>
        <w:t>, if they have used any product to deal with it and their satisfaction with the particular product.</w:t>
      </w:r>
    </w:p>
    <w:p w14:paraId="3895E5F5" w14:textId="77777777" w:rsidR="00E156F6" w:rsidRDefault="00E156F6" w:rsidP="00DC4DA9">
      <w:pPr>
        <w:spacing w:after="120"/>
        <w:jc w:val="both"/>
        <w:outlineLvl w:val="0"/>
        <w:rPr>
          <w:lang w:val="en-US"/>
        </w:rPr>
      </w:pPr>
      <w:r w:rsidRPr="00E156F6">
        <w:rPr>
          <w:b/>
          <w:lang w:val="en-US"/>
        </w:rPr>
        <w:t>Part 7.</w:t>
      </w:r>
      <w:r>
        <w:rPr>
          <w:lang w:val="en-US"/>
        </w:rPr>
        <w:t xml:space="preserve"> Farmer demographics</w:t>
      </w:r>
    </w:p>
    <w:p w14:paraId="1A996A69" w14:textId="77777777" w:rsidR="00F73CBF" w:rsidRDefault="0043104B" w:rsidP="00053D16">
      <w:pPr>
        <w:spacing w:after="120"/>
        <w:jc w:val="both"/>
        <w:rPr>
          <w:lang w:val="en-US"/>
        </w:rPr>
      </w:pPr>
      <w:r>
        <w:rPr>
          <w:lang w:val="en-US"/>
        </w:rPr>
        <w:t xml:space="preserve">The last section </w:t>
      </w:r>
      <w:r w:rsidR="00644369">
        <w:rPr>
          <w:lang w:val="en-US"/>
        </w:rPr>
        <w:t>c</w:t>
      </w:r>
      <w:r w:rsidR="007F4B7D">
        <w:rPr>
          <w:lang w:val="en-US"/>
        </w:rPr>
        <w:t>oncerns basic information about the respondents.</w:t>
      </w:r>
      <w:r w:rsidR="004463BD">
        <w:rPr>
          <w:lang w:val="en-US"/>
        </w:rPr>
        <w:t xml:space="preserve"> </w:t>
      </w:r>
      <w:r w:rsidR="00F776BD">
        <w:rPr>
          <w:lang w:val="en-US"/>
        </w:rPr>
        <w:t xml:space="preserve">Examples are age, gender, education, </w:t>
      </w:r>
      <w:r w:rsidR="001E7F70">
        <w:rPr>
          <w:lang w:val="en-US"/>
        </w:rPr>
        <w:t>farm experience</w:t>
      </w:r>
      <w:r w:rsidR="00F776BD">
        <w:rPr>
          <w:lang w:val="en-US"/>
        </w:rPr>
        <w:t>,</w:t>
      </w:r>
      <w:r w:rsidR="00F765BD">
        <w:rPr>
          <w:lang w:val="en-US"/>
        </w:rPr>
        <w:t xml:space="preserve"> primary and secondary employment</w:t>
      </w:r>
      <w:r w:rsidR="00F776BD">
        <w:rPr>
          <w:lang w:val="en-US"/>
        </w:rPr>
        <w:t xml:space="preserve"> perceived income of the household</w:t>
      </w:r>
      <w:r w:rsidR="007F4B7D">
        <w:rPr>
          <w:lang w:val="en-US"/>
        </w:rPr>
        <w:t xml:space="preserve"> </w:t>
      </w:r>
      <w:r w:rsidR="00644369">
        <w:rPr>
          <w:lang w:val="en-US"/>
        </w:rPr>
        <w:t>and a question about farmers’ adoption of</w:t>
      </w:r>
      <w:r w:rsidR="00644369" w:rsidRPr="00644369">
        <w:rPr>
          <w:lang w:val="en-US"/>
        </w:rPr>
        <w:t xml:space="preserve"> a ‘’new method’’ to their cultivation technique and note this ‘’new method’’.</w:t>
      </w:r>
    </w:p>
    <w:p w14:paraId="44ACB97E" w14:textId="77777777" w:rsidR="00053D16" w:rsidRDefault="00F056A2" w:rsidP="00053D16">
      <w:pPr>
        <w:spacing w:after="120"/>
        <w:jc w:val="both"/>
        <w:rPr>
          <w:lang w:val="en-US"/>
        </w:rPr>
      </w:pPr>
      <w:r>
        <w:rPr>
          <w:lang w:val="en-US"/>
        </w:rPr>
        <w:t>However, a number of the questions were experienced as uncomfortable or sensitive by the participants. The most sensitive con</w:t>
      </w:r>
      <w:r w:rsidR="00A3626C">
        <w:rPr>
          <w:lang w:val="en-US"/>
        </w:rPr>
        <w:t xml:space="preserve">cerned income as there is a risk that farmers might have stated a lower income in hope that the research </w:t>
      </w:r>
      <w:r w:rsidR="001961EA">
        <w:rPr>
          <w:lang w:val="en-US"/>
        </w:rPr>
        <w:t xml:space="preserve">will cause a price change that will affect them positively. In general sensitive questions may influence the participants’ attitude concerning the study. </w:t>
      </w:r>
    </w:p>
    <w:p w14:paraId="5A3837D9" w14:textId="77777777" w:rsidR="00B46145" w:rsidRDefault="00B46145" w:rsidP="00DC4DA9">
      <w:pPr>
        <w:spacing w:after="120"/>
        <w:jc w:val="both"/>
        <w:outlineLvl w:val="0"/>
        <w:rPr>
          <w:b/>
          <w:lang w:val="en-US"/>
        </w:rPr>
      </w:pPr>
      <w:r w:rsidRPr="00B46145">
        <w:rPr>
          <w:b/>
          <w:lang w:val="en-US"/>
        </w:rPr>
        <w:t xml:space="preserve">4. </w:t>
      </w:r>
      <w:r w:rsidRPr="00364836">
        <w:rPr>
          <w:b/>
          <w:lang w:val="en-US"/>
        </w:rPr>
        <w:t>Data collection methods</w:t>
      </w:r>
    </w:p>
    <w:p w14:paraId="7C85CD3E" w14:textId="77777777" w:rsidR="00B46145" w:rsidRDefault="00B46145" w:rsidP="00053D16">
      <w:pPr>
        <w:spacing w:after="120"/>
        <w:jc w:val="both"/>
        <w:rPr>
          <w:lang w:val="en-US"/>
        </w:rPr>
      </w:pPr>
      <w:r>
        <w:rPr>
          <w:lang w:val="en-US"/>
        </w:rPr>
        <w:t xml:space="preserve">Questionnaires are preferably personally carried out, </w:t>
      </w:r>
      <w:r w:rsidR="008014AC">
        <w:rPr>
          <w:lang w:val="en-US"/>
        </w:rPr>
        <w:t>since</w:t>
      </w:r>
      <w:r w:rsidR="00500E60">
        <w:rPr>
          <w:lang w:val="en-US"/>
        </w:rPr>
        <w:t xml:space="preserve"> this </w:t>
      </w:r>
      <w:r w:rsidR="008014AC">
        <w:rPr>
          <w:lang w:val="en-US"/>
        </w:rPr>
        <w:t xml:space="preserve">lead to </w:t>
      </w:r>
      <w:r w:rsidR="00500E60">
        <w:rPr>
          <w:lang w:val="en-US"/>
        </w:rPr>
        <w:t xml:space="preserve">higher </w:t>
      </w:r>
      <w:r w:rsidR="008014AC">
        <w:rPr>
          <w:lang w:val="en-US"/>
        </w:rPr>
        <w:t xml:space="preserve">response rates </w:t>
      </w:r>
      <w:r w:rsidR="00500E60">
        <w:rPr>
          <w:lang w:val="en-US"/>
        </w:rPr>
        <w:t>with a better quality</w:t>
      </w:r>
      <w:r w:rsidR="00861FAF">
        <w:rPr>
          <w:lang w:val="en-US"/>
        </w:rPr>
        <w:t xml:space="preserve"> than other methods</w:t>
      </w:r>
      <w:r w:rsidR="0021152F">
        <w:rPr>
          <w:lang w:val="en-US"/>
        </w:rPr>
        <w:t xml:space="preserve"> (</w:t>
      </w:r>
      <w:r w:rsidR="0021152F" w:rsidRPr="00CF62A8">
        <w:rPr>
          <w:lang w:val="en-US"/>
        </w:rPr>
        <w:t xml:space="preserve">Arrow et </w:t>
      </w:r>
      <w:r w:rsidR="0064430E" w:rsidRPr="00CF62A8">
        <w:rPr>
          <w:lang w:val="en-US"/>
        </w:rPr>
        <w:t>al., 1993</w:t>
      </w:r>
      <w:r w:rsidR="0064430E">
        <w:rPr>
          <w:lang w:val="en-US"/>
        </w:rPr>
        <w:t xml:space="preserve">). </w:t>
      </w:r>
      <w:r w:rsidR="008014AC">
        <w:rPr>
          <w:lang w:val="en-US"/>
        </w:rPr>
        <w:t>They are also more flexible and reliable,</w:t>
      </w:r>
      <w:r w:rsidR="0031768F">
        <w:rPr>
          <w:lang w:val="en-US"/>
        </w:rPr>
        <w:t xml:space="preserve"> despite their high cost, </w:t>
      </w:r>
      <w:r w:rsidR="008014AC">
        <w:rPr>
          <w:lang w:val="en-US"/>
        </w:rPr>
        <w:t xml:space="preserve">as personal contact is able to minimize problems with the interpretation of </w:t>
      </w:r>
      <w:r w:rsidR="00861FAF">
        <w:rPr>
          <w:lang w:val="en-US"/>
        </w:rPr>
        <w:t xml:space="preserve">some questions, since </w:t>
      </w:r>
      <w:r w:rsidR="008014AC">
        <w:rPr>
          <w:lang w:val="en-US"/>
        </w:rPr>
        <w:t xml:space="preserve">the researchers have the opportunity to </w:t>
      </w:r>
      <w:r w:rsidR="00861FAF">
        <w:rPr>
          <w:lang w:val="en-US"/>
        </w:rPr>
        <w:t>ensure that participants understand it correctly.</w:t>
      </w:r>
    </w:p>
    <w:p w14:paraId="436EF0E3" w14:textId="77777777" w:rsidR="0064430E" w:rsidRDefault="00F26137" w:rsidP="00053D16">
      <w:pPr>
        <w:spacing w:after="120"/>
        <w:jc w:val="both"/>
        <w:rPr>
          <w:lang w:val="en-US"/>
        </w:rPr>
      </w:pPr>
      <w:r>
        <w:rPr>
          <w:lang w:val="en-US"/>
        </w:rPr>
        <w:t xml:space="preserve">A pilot questionnaire was pre-tested </w:t>
      </w:r>
      <w:r w:rsidR="005F6DD2">
        <w:rPr>
          <w:lang w:val="en-US"/>
        </w:rPr>
        <w:t xml:space="preserve">in Messinian regions in </w:t>
      </w:r>
      <w:r w:rsidR="00AD6216">
        <w:rPr>
          <w:lang w:val="en-US"/>
        </w:rPr>
        <w:t>a small sample of subjects</w:t>
      </w:r>
      <w:r w:rsidR="005F6DD2">
        <w:rPr>
          <w:lang w:val="en-US"/>
        </w:rPr>
        <w:t xml:space="preserve">. Through this process some ‘’strengths and weaknesses’’ could be estimated in the structure of the questionnaire. </w:t>
      </w:r>
      <w:r w:rsidR="00B45FD1">
        <w:rPr>
          <w:lang w:val="en-US"/>
        </w:rPr>
        <w:t xml:space="preserve">Furthermore, it was helpful for us to know where problems might arise during the interview. Thus, </w:t>
      </w:r>
      <w:r w:rsidR="006A27A4">
        <w:rPr>
          <w:lang w:val="en-US"/>
        </w:rPr>
        <w:t>it was found that some of the existing questions need</w:t>
      </w:r>
      <w:r w:rsidR="00BB031F">
        <w:rPr>
          <w:lang w:val="en-US"/>
        </w:rPr>
        <w:t xml:space="preserve">ed redesign in order to be </w:t>
      </w:r>
      <w:r w:rsidR="006A27A4">
        <w:rPr>
          <w:lang w:val="en-US"/>
        </w:rPr>
        <w:t>clear</w:t>
      </w:r>
      <w:r w:rsidR="00BB031F">
        <w:rPr>
          <w:lang w:val="en-US"/>
        </w:rPr>
        <w:t>er</w:t>
      </w:r>
      <w:r w:rsidR="006A27A4">
        <w:rPr>
          <w:lang w:val="en-US"/>
        </w:rPr>
        <w:t xml:space="preserve"> and some other removed.</w:t>
      </w:r>
      <w:r w:rsidR="00A528B5">
        <w:rPr>
          <w:lang w:val="en-US"/>
        </w:rPr>
        <w:t xml:space="preserve"> The full scale survey was then launched on May 14, 2017 and questionnaires were filled in until August 21, 2017. </w:t>
      </w:r>
    </w:p>
    <w:p w14:paraId="33C03769" w14:textId="26DE4920" w:rsidR="001D1C61" w:rsidRDefault="00DA7978" w:rsidP="00053D16">
      <w:pPr>
        <w:spacing w:after="120"/>
        <w:jc w:val="both"/>
        <w:rPr>
          <w:lang w:val="en-US"/>
        </w:rPr>
      </w:pPr>
      <w:r>
        <w:rPr>
          <w:lang w:val="en-US"/>
        </w:rPr>
        <w:t xml:space="preserve">The study was conducted in locations of Messenia, </w:t>
      </w:r>
      <w:proofErr w:type="spellStart"/>
      <w:r>
        <w:rPr>
          <w:lang w:val="en-US"/>
        </w:rPr>
        <w:t>Argolida</w:t>
      </w:r>
      <w:proofErr w:type="spellEnd"/>
      <w:r>
        <w:rPr>
          <w:lang w:val="en-US"/>
        </w:rPr>
        <w:t xml:space="preserve"> and </w:t>
      </w:r>
      <w:proofErr w:type="spellStart"/>
      <w:r>
        <w:rPr>
          <w:lang w:val="en-US"/>
        </w:rPr>
        <w:t>Corinthia</w:t>
      </w:r>
      <w:proofErr w:type="spellEnd"/>
      <w:r>
        <w:rPr>
          <w:lang w:val="en-US"/>
        </w:rPr>
        <w:t xml:space="preserve">. </w:t>
      </w:r>
      <w:r w:rsidR="00FA73F1">
        <w:rPr>
          <w:lang w:val="en-US"/>
        </w:rPr>
        <w:t xml:space="preserve">Locations were selected </w:t>
      </w:r>
      <w:r w:rsidR="00D202DB">
        <w:rPr>
          <w:lang w:val="en-US"/>
        </w:rPr>
        <w:t>after an evaluation of their availability and the type of cropping that is used there.</w:t>
      </w:r>
      <w:r w:rsidR="0079481E">
        <w:rPr>
          <w:lang w:val="en-US"/>
        </w:rPr>
        <w:t xml:space="preserve"> </w:t>
      </w:r>
      <w:r w:rsidR="000B0618">
        <w:rPr>
          <w:lang w:val="en-US"/>
        </w:rPr>
        <w:t>The main categories of crops selected were those of vegetables (tomatoes, potatoes, cucumbers</w:t>
      </w:r>
      <w:r w:rsidR="00406433">
        <w:rPr>
          <w:lang w:val="en-US"/>
        </w:rPr>
        <w:t xml:space="preserve">, </w:t>
      </w:r>
      <w:r w:rsidR="000B0618">
        <w:rPr>
          <w:lang w:val="en-US"/>
        </w:rPr>
        <w:t>lettuce), citrus fruit (orange, lemon, mandarin), peaches, apricots, almonds, cherries, vine</w:t>
      </w:r>
      <w:r w:rsidR="00406433">
        <w:rPr>
          <w:lang w:val="en-US"/>
        </w:rPr>
        <w:t>s</w:t>
      </w:r>
      <w:r w:rsidR="000B0618">
        <w:rPr>
          <w:lang w:val="en-US"/>
        </w:rPr>
        <w:t xml:space="preserve"> and pomegranate</w:t>
      </w:r>
      <w:r w:rsidR="00406433">
        <w:rPr>
          <w:lang w:val="en-US"/>
        </w:rPr>
        <w:t>s</w:t>
      </w:r>
      <w:r w:rsidR="000B0618">
        <w:rPr>
          <w:lang w:val="en-US"/>
        </w:rPr>
        <w:t xml:space="preserve"> that are more sensitive to salinity.</w:t>
      </w:r>
      <w:r w:rsidR="003A6E45">
        <w:rPr>
          <w:lang w:val="en-US"/>
        </w:rPr>
        <w:t xml:space="preserve"> Also, most of the chosen areas face salinity problems due to reasons that have been referred above. </w:t>
      </w:r>
      <w:r w:rsidR="00B20937">
        <w:rPr>
          <w:lang w:val="en-US"/>
        </w:rPr>
        <w:t xml:space="preserve">The meetings with </w:t>
      </w:r>
      <w:r w:rsidR="00B20937">
        <w:rPr>
          <w:lang w:val="en-US"/>
        </w:rPr>
        <w:lastRenderedPageBreak/>
        <w:t xml:space="preserve">the farmers were held by phone appointment. </w:t>
      </w:r>
      <w:r w:rsidR="00BC568C">
        <w:rPr>
          <w:lang w:val="en-US"/>
        </w:rPr>
        <w:t xml:space="preserve">The farmers’ </w:t>
      </w:r>
      <w:r w:rsidR="00B20937">
        <w:rPr>
          <w:lang w:val="en-US"/>
        </w:rPr>
        <w:t>phone numbers were available through lists provided by public agricultural services and agronomic shops.</w:t>
      </w:r>
      <w:r w:rsidR="00BC568C">
        <w:rPr>
          <w:lang w:val="en-US"/>
        </w:rPr>
        <w:t xml:space="preserve"> </w:t>
      </w:r>
      <w:r w:rsidR="008218FA">
        <w:rPr>
          <w:lang w:val="en-US"/>
        </w:rPr>
        <w:t>During the telephone conversation with the farmers, we introduced ourselves and</w:t>
      </w:r>
      <w:r w:rsidR="003A6E45">
        <w:rPr>
          <w:lang w:val="en-US"/>
        </w:rPr>
        <w:t xml:space="preserve"> the aim of</w:t>
      </w:r>
      <w:r w:rsidR="008218FA">
        <w:rPr>
          <w:lang w:val="en-US"/>
        </w:rPr>
        <w:t xml:space="preserve"> </w:t>
      </w:r>
      <w:r w:rsidR="003A6E45">
        <w:rPr>
          <w:lang w:val="en-US"/>
        </w:rPr>
        <w:t>this</w:t>
      </w:r>
      <w:r w:rsidR="008218FA">
        <w:rPr>
          <w:lang w:val="en-US"/>
        </w:rPr>
        <w:t xml:space="preserve"> study, before asking them if they were willing to participate.</w:t>
      </w:r>
      <w:r w:rsidR="00CF7244">
        <w:rPr>
          <w:lang w:val="en-US"/>
        </w:rPr>
        <w:t xml:space="preserve"> The personal interviews took place in their farms.</w:t>
      </w:r>
      <w:r w:rsidR="00F85F22">
        <w:rPr>
          <w:lang w:val="en-US"/>
        </w:rPr>
        <w:t xml:space="preserve"> In all, the 189 subjects that were asked to participate in the survey and 150 agreed to take part resulting i</w:t>
      </w:r>
      <w:r w:rsidR="006E73CA">
        <w:rPr>
          <w:lang w:val="en-US"/>
        </w:rPr>
        <w:t xml:space="preserve">n a cooperation rate of 79.36%. The questionnaire took participants around 15 minutes to complete. </w:t>
      </w:r>
      <w:r w:rsidR="008A6A1A">
        <w:rPr>
          <w:lang w:val="en-US"/>
        </w:rPr>
        <w:t xml:space="preserve">Nevertheless, a small number of the participants refused to respond to certain questions which further reduced the available sample for statistical analysis. </w:t>
      </w:r>
      <w:r w:rsidR="00190009">
        <w:rPr>
          <w:lang w:val="en-US"/>
        </w:rPr>
        <w:t>Data were subjected to analysis using the software STATA v.14.0.</w:t>
      </w:r>
    </w:p>
    <w:p w14:paraId="38A8194E" w14:textId="77777777" w:rsidR="00CC446F" w:rsidRDefault="00CC446F" w:rsidP="00053D16">
      <w:pPr>
        <w:spacing w:after="120"/>
        <w:jc w:val="both"/>
        <w:rPr>
          <w:lang w:val="en-US"/>
        </w:rPr>
      </w:pPr>
    </w:p>
    <w:p w14:paraId="275EB2F2" w14:textId="77777777" w:rsidR="00CC446F" w:rsidRPr="00A8562C" w:rsidRDefault="00CC446F" w:rsidP="00CC446F">
      <w:pPr>
        <w:spacing w:after="0"/>
        <w:jc w:val="center"/>
        <w:outlineLvl w:val="0"/>
        <w:rPr>
          <w:lang w:val="en-US"/>
        </w:rPr>
      </w:pPr>
      <w:r>
        <w:rPr>
          <w:lang w:val="en-US"/>
        </w:rPr>
        <w:t xml:space="preserve">Table 2: Summary of descriptive statistics </w:t>
      </w:r>
    </w:p>
    <w:tbl>
      <w:tblPr>
        <w:tblStyle w:val="TableGrid"/>
        <w:tblW w:w="8359"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2072"/>
        <w:gridCol w:w="1647"/>
        <w:gridCol w:w="2093"/>
      </w:tblGrid>
      <w:tr w:rsidR="00CC446F" w:rsidRPr="0030646C" w14:paraId="12B5BF75" w14:textId="77777777" w:rsidTr="003D3FC0">
        <w:trPr>
          <w:trHeight w:val="20"/>
        </w:trPr>
        <w:tc>
          <w:tcPr>
            <w:tcW w:w="2547" w:type="dxa"/>
            <w:tcBorders>
              <w:top w:val="double" w:sz="4" w:space="0" w:color="auto"/>
              <w:bottom w:val="double" w:sz="4" w:space="0" w:color="auto"/>
            </w:tcBorders>
          </w:tcPr>
          <w:p w14:paraId="7703A343" w14:textId="77777777" w:rsidR="00CC446F" w:rsidRPr="0030646C" w:rsidRDefault="00CC446F" w:rsidP="003D3FC0">
            <w:pPr>
              <w:spacing w:after="120"/>
              <w:jc w:val="center"/>
              <w:rPr>
                <w:b/>
                <w:lang w:val="en-US"/>
              </w:rPr>
            </w:pPr>
            <w:r>
              <w:rPr>
                <w:b/>
                <w:lang w:val="en-US"/>
              </w:rPr>
              <w:t xml:space="preserve">Definition of </w:t>
            </w:r>
            <w:r w:rsidRPr="0030646C">
              <w:rPr>
                <w:b/>
                <w:lang w:val="en-US"/>
              </w:rPr>
              <w:t>Variables</w:t>
            </w:r>
            <w:r>
              <w:rPr>
                <w:b/>
                <w:lang w:val="en-US"/>
              </w:rPr>
              <w:t xml:space="preserve"> (Variables) </w:t>
            </w:r>
          </w:p>
        </w:tc>
        <w:tc>
          <w:tcPr>
            <w:tcW w:w="2072" w:type="dxa"/>
            <w:tcBorders>
              <w:top w:val="double" w:sz="4" w:space="0" w:color="auto"/>
              <w:bottom w:val="double" w:sz="4" w:space="0" w:color="auto"/>
            </w:tcBorders>
          </w:tcPr>
          <w:p w14:paraId="619B27C4" w14:textId="77777777" w:rsidR="00CC446F" w:rsidRPr="0030646C" w:rsidRDefault="00CC446F" w:rsidP="003D3FC0">
            <w:pPr>
              <w:spacing w:after="120"/>
              <w:jc w:val="center"/>
              <w:rPr>
                <w:b/>
                <w:lang w:val="en-US"/>
              </w:rPr>
            </w:pPr>
            <w:r w:rsidRPr="0030646C">
              <w:rPr>
                <w:b/>
                <w:lang w:val="en-US"/>
              </w:rPr>
              <w:t>Variable levels</w:t>
            </w:r>
          </w:p>
        </w:tc>
        <w:tc>
          <w:tcPr>
            <w:tcW w:w="1647" w:type="dxa"/>
            <w:tcBorders>
              <w:top w:val="double" w:sz="4" w:space="0" w:color="auto"/>
              <w:bottom w:val="double" w:sz="4" w:space="0" w:color="auto"/>
            </w:tcBorders>
          </w:tcPr>
          <w:p w14:paraId="18516FBC" w14:textId="77777777" w:rsidR="00CC446F" w:rsidRPr="0030646C" w:rsidRDefault="00CC446F" w:rsidP="003D3FC0">
            <w:pPr>
              <w:spacing w:after="120"/>
              <w:jc w:val="center"/>
              <w:rPr>
                <w:b/>
                <w:lang w:val="en-US"/>
              </w:rPr>
            </w:pPr>
            <w:r w:rsidRPr="0030646C">
              <w:rPr>
                <w:b/>
                <w:lang w:val="en-US"/>
              </w:rPr>
              <w:t>Frequency</w:t>
            </w:r>
          </w:p>
        </w:tc>
        <w:tc>
          <w:tcPr>
            <w:tcW w:w="2093" w:type="dxa"/>
            <w:tcBorders>
              <w:top w:val="double" w:sz="4" w:space="0" w:color="auto"/>
              <w:bottom w:val="double" w:sz="4" w:space="0" w:color="auto"/>
            </w:tcBorders>
          </w:tcPr>
          <w:p w14:paraId="0738377F" w14:textId="77777777" w:rsidR="00CC446F" w:rsidRPr="0030646C" w:rsidRDefault="00CC446F" w:rsidP="003D3FC0">
            <w:pPr>
              <w:spacing w:after="120"/>
              <w:jc w:val="center"/>
              <w:rPr>
                <w:b/>
                <w:lang w:val="en-US"/>
              </w:rPr>
            </w:pPr>
            <w:r w:rsidRPr="0030646C">
              <w:rPr>
                <w:b/>
                <w:lang w:val="en-US"/>
              </w:rPr>
              <w:t>Mean</w:t>
            </w:r>
          </w:p>
        </w:tc>
      </w:tr>
      <w:tr w:rsidR="00CC446F" w:rsidRPr="008B46D6" w14:paraId="7C8A274F" w14:textId="77777777" w:rsidTr="003D3FC0">
        <w:trPr>
          <w:trHeight w:val="20"/>
        </w:trPr>
        <w:tc>
          <w:tcPr>
            <w:tcW w:w="2547" w:type="dxa"/>
            <w:tcBorders>
              <w:top w:val="double" w:sz="4" w:space="0" w:color="auto"/>
            </w:tcBorders>
          </w:tcPr>
          <w:p w14:paraId="617EA772" w14:textId="77777777" w:rsidR="00CC446F" w:rsidRDefault="00CC446F" w:rsidP="003D3FC0">
            <w:pPr>
              <w:jc w:val="both"/>
              <w:rPr>
                <w:lang w:val="en-US"/>
              </w:rPr>
            </w:pPr>
            <w:r>
              <w:rPr>
                <w:lang w:val="en-US"/>
              </w:rPr>
              <w:t>Age (age)</w:t>
            </w:r>
          </w:p>
        </w:tc>
        <w:tc>
          <w:tcPr>
            <w:tcW w:w="2072" w:type="dxa"/>
            <w:tcBorders>
              <w:top w:val="double" w:sz="4" w:space="0" w:color="auto"/>
            </w:tcBorders>
          </w:tcPr>
          <w:p w14:paraId="52EAA63E" w14:textId="77777777" w:rsidR="00CC446F" w:rsidRDefault="00CC446F" w:rsidP="003D3FC0">
            <w:pPr>
              <w:jc w:val="both"/>
              <w:rPr>
                <w:lang w:val="en-US"/>
              </w:rPr>
            </w:pPr>
          </w:p>
        </w:tc>
        <w:tc>
          <w:tcPr>
            <w:tcW w:w="1647" w:type="dxa"/>
            <w:tcBorders>
              <w:top w:val="double" w:sz="4" w:space="0" w:color="auto"/>
            </w:tcBorders>
          </w:tcPr>
          <w:p w14:paraId="0EF86C99" w14:textId="77777777" w:rsidR="00CC446F" w:rsidRDefault="00CC446F" w:rsidP="003D3FC0">
            <w:pPr>
              <w:jc w:val="both"/>
              <w:rPr>
                <w:lang w:val="en-US"/>
              </w:rPr>
            </w:pPr>
          </w:p>
        </w:tc>
        <w:tc>
          <w:tcPr>
            <w:tcW w:w="2093" w:type="dxa"/>
            <w:tcBorders>
              <w:top w:val="double" w:sz="4" w:space="0" w:color="auto"/>
            </w:tcBorders>
          </w:tcPr>
          <w:p w14:paraId="6B6AD56A" w14:textId="77777777" w:rsidR="00CC446F" w:rsidRDefault="00CC446F" w:rsidP="003D3FC0">
            <w:pPr>
              <w:jc w:val="center"/>
              <w:rPr>
                <w:lang w:val="en-US"/>
              </w:rPr>
            </w:pPr>
            <w:r>
              <w:rPr>
                <w:lang w:val="en-US"/>
              </w:rPr>
              <w:t>48.94</w:t>
            </w:r>
          </w:p>
        </w:tc>
      </w:tr>
      <w:tr w:rsidR="00CC446F" w:rsidRPr="008B46D6" w14:paraId="42B1A629" w14:textId="77777777" w:rsidTr="003D3FC0">
        <w:trPr>
          <w:trHeight w:val="20"/>
        </w:trPr>
        <w:tc>
          <w:tcPr>
            <w:tcW w:w="2547" w:type="dxa"/>
          </w:tcPr>
          <w:p w14:paraId="5B12FFCD" w14:textId="77777777" w:rsidR="00CC446F" w:rsidRDefault="00CC446F" w:rsidP="003D3FC0">
            <w:pPr>
              <w:rPr>
                <w:lang w:val="en-US"/>
              </w:rPr>
            </w:pPr>
            <w:r>
              <w:rPr>
                <w:lang w:val="en-US"/>
              </w:rPr>
              <w:t>Farm experience (years)</w:t>
            </w:r>
          </w:p>
        </w:tc>
        <w:tc>
          <w:tcPr>
            <w:tcW w:w="2072" w:type="dxa"/>
          </w:tcPr>
          <w:p w14:paraId="02EC504A" w14:textId="77777777" w:rsidR="00CC446F" w:rsidRDefault="00CC446F" w:rsidP="003D3FC0">
            <w:pPr>
              <w:jc w:val="both"/>
              <w:rPr>
                <w:lang w:val="en-US"/>
              </w:rPr>
            </w:pPr>
          </w:p>
        </w:tc>
        <w:tc>
          <w:tcPr>
            <w:tcW w:w="1647" w:type="dxa"/>
          </w:tcPr>
          <w:p w14:paraId="3ED0E12D" w14:textId="77777777" w:rsidR="00CC446F" w:rsidRDefault="00CC446F" w:rsidP="003D3FC0">
            <w:pPr>
              <w:jc w:val="both"/>
              <w:rPr>
                <w:lang w:val="en-US"/>
              </w:rPr>
            </w:pPr>
          </w:p>
        </w:tc>
        <w:tc>
          <w:tcPr>
            <w:tcW w:w="2093" w:type="dxa"/>
          </w:tcPr>
          <w:p w14:paraId="6E5B6153" w14:textId="77777777" w:rsidR="00CC446F" w:rsidRDefault="00CC446F" w:rsidP="003D3FC0">
            <w:pPr>
              <w:jc w:val="center"/>
              <w:rPr>
                <w:lang w:val="en-US"/>
              </w:rPr>
            </w:pPr>
            <w:r>
              <w:rPr>
                <w:lang w:val="en-US"/>
              </w:rPr>
              <w:t>25.77</w:t>
            </w:r>
          </w:p>
        </w:tc>
      </w:tr>
      <w:tr w:rsidR="00CC446F" w:rsidRPr="008B46D6" w14:paraId="2A307CE1" w14:textId="77777777" w:rsidTr="003D3FC0">
        <w:trPr>
          <w:trHeight w:val="20"/>
        </w:trPr>
        <w:tc>
          <w:tcPr>
            <w:tcW w:w="2547" w:type="dxa"/>
          </w:tcPr>
          <w:p w14:paraId="34405A39" w14:textId="77777777" w:rsidR="00CC446F" w:rsidRDefault="00CC446F" w:rsidP="003D3FC0">
            <w:pPr>
              <w:jc w:val="both"/>
              <w:rPr>
                <w:lang w:val="en-US"/>
              </w:rPr>
            </w:pPr>
            <w:r>
              <w:rPr>
                <w:lang w:val="en-US"/>
              </w:rPr>
              <w:t>Gender (gender)</w:t>
            </w:r>
          </w:p>
        </w:tc>
        <w:tc>
          <w:tcPr>
            <w:tcW w:w="2072" w:type="dxa"/>
          </w:tcPr>
          <w:p w14:paraId="23D202B1" w14:textId="77777777" w:rsidR="00CC446F" w:rsidRDefault="00CC446F" w:rsidP="003D3FC0">
            <w:pPr>
              <w:jc w:val="both"/>
              <w:rPr>
                <w:lang w:val="en-US"/>
              </w:rPr>
            </w:pPr>
            <w:r>
              <w:rPr>
                <w:lang w:val="en-US"/>
              </w:rPr>
              <w:t>Male</w:t>
            </w:r>
          </w:p>
          <w:p w14:paraId="4ABE0CCD" w14:textId="77777777" w:rsidR="00CC446F" w:rsidRDefault="00CC446F" w:rsidP="003D3FC0">
            <w:pPr>
              <w:jc w:val="both"/>
              <w:rPr>
                <w:lang w:val="en-US"/>
              </w:rPr>
            </w:pPr>
            <w:r>
              <w:rPr>
                <w:lang w:val="en-US"/>
              </w:rPr>
              <w:t>Female</w:t>
            </w:r>
          </w:p>
        </w:tc>
        <w:tc>
          <w:tcPr>
            <w:tcW w:w="1647" w:type="dxa"/>
          </w:tcPr>
          <w:p w14:paraId="77FDFFC4" w14:textId="77777777" w:rsidR="00CC446F" w:rsidRDefault="00CC446F" w:rsidP="003D3FC0">
            <w:pPr>
              <w:jc w:val="center"/>
              <w:rPr>
                <w:lang w:val="en-US"/>
              </w:rPr>
            </w:pPr>
            <w:r>
              <w:rPr>
                <w:lang w:val="en-US"/>
              </w:rPr>
              <w:t>141</w:t>
            </w:r>
          </w:p>
          <w:p w14:paraId="664A0699" w14:textId="77777777" w:rsidR="00CC446F" w:rsidRDefault="00CC446F" w:rsidP="003D3FC0">
            <w:pPr>
              <w:jc w:val="center"/>
              <w:rPr>
                <w:lang w:val="en-US"/>
              </w:rPr>
            </w:pPr>
            <w:r>
              <w:rPr>
                <w:lang w:val="en-US"/>
              </w:rPr>
              <w:t>9</w:t>
            </w:r>
          </w:p>
        </w:tc>
        <w:tc>
          <w:tcPr>
            <w:tcW w:w="2093" w:type="dxa"/>
          </w:tcPr>
          <w:p w14:paraId="40EC1A49" w14:textId="77777777" w:rsidR="00CC446F" w:rsidRDefault="00CC446F" w:rsidP="003D3FC0">
            <w:pPr>
              <w:jc w:val="center"/>
              <w:rPr>
                <w:lang w:val="en-US"/>
              </w:rPr>
            </w:pPr>
            <w:r>
              <w:rPr>
                <w:lang w:val="en-US"/>
              </w:rPr>
              <w:t>94.00%</w:t>
            </w:r>
          </w:p>
          <w:p w14:paraId="3CB94247" w14:textId="77777777" w:rsidR="00CC446F" w:rsidRDefault="00CC446F" w:rsidP="003D3FC0">
            <w:pPr>
              <w:jc w:val="center"/>
              <w:rPr>
                <w:lang w:val="en-US"/>
              </w:rPr>
            </w:pPr>
            <w:r>
              <w:rPr>
                <w:lang w:val="en-US"/>
              </w:rPr>
              <w:t>6.00%</w:t>
            </w:r>
          </w:p>
        </w:tc>
      </w:tr>
      <w:tr w:rsidR="00CC446F" w:rsidRPr="008B46D6" w14:paraId="650D5FB2" w14:textId="77777777" w:rsidTr="003D3FC0">
        <w:trPr>
          <w:trHeight w:val="20"/>
        </w:trPr>
        <w:tc>
          <w:tcPr>
            <w:tcW w:w="2547" w:type="dxa"/>
          </w:tcPr>
          <w:p w14:paraId="21338A79" w14:textId="77777777" w:rsidR="00CC446F" w:rsidRDefault="00CC446F" w:rsidP="003D3FC0">
            <w:pPr>
              <w:jc w:val="both"/>
              <w:rPr>
                <w:lang w:val="en-US"/>
              </w:rPr>
            </w:pPr>
            <w:r>
              <w:rPr>
                <w:lang w:val="en-US"/>
              </w:rPr>
              <w:t>Education (</w:t>
            </w:r>
            <w:proofErr w:type="spellStart"/>
            <w:r>
              <w:rPr>
                <w:lang w:val="en-US"/>
              </w:rPr>
              <w:t>edu</w:t>
            </w:r>
            <w:proofErr w:type="spellEnd"/>
            <w:r>
              <w:rPr>
                <w:lang w:val="en-US"/>
              </w:rPr>
              <w:t>)</w:t>
            </w:r>
          </w:p>
        </w:tc>
        <w:tc>
          <w:tcPr>
            <w:tcW w:w="2072" w:type="dxa"/>
          </w:tcPr>
          <w:p w14:paraId="5154096A" w14:textId="77777777" w:rsidR="00CC446F" w:rsidRDefault="00CC446F" w:rsidP="003D3FC0">
            <w:pPr>
              <w:jc w:val="both"/>
              <w:rPr>
                <w:lang w:val="en-US"/>
              </w:rPr>
            </w:pPr>
            <w:r>
              <w:rPr>
                <w:lang w:val="en-US"/>
              </w:rPr>
              <w:t>Up to primary school</w:t>
            </w:r>
          </w:p>
          <w:p w14:paraId="1FFA0FF6" w14:textId="77777777" w:rsidR="00CC446F" w:rsidRDefault="00CC446F" w:rsidP="003D3FC0">
            <w:pPr>
              <w:jc w:val="both"/>
              <w:rPr>
                <w:lang w:val="en-US"/>
              </w:rPr>
            </w:pPr>
            <w:r>
              <w:rPr>
                <w:lang w:val="en-US"/>
              </w:rPr>
              <w:t>Primary school</w:t>
            </w:r>
          </w:p>
          <w:p w14:paraId="57430BC9" w14:textId="77777777" w:rsidR="00CC446F" w:rsidRDefault="00CC446F" w:rsidP="003D3FC0">
            <w:pPr>
              <w:jc w:val="both"/>
              <w:rPr>
                <w:lang w:val="en-US"/>
              </w:rPr>
            </w:pPr>
            <w:r>
              <w:rPr>
                <w:lang w:val="en-US"/>
              </w:rPr>
              <w:t>Secondary school</w:t>
            </w:r>
          </w:p>
          <w:p w14:paraId="4227F96F" w14:textId="77777777" w:rsidR="00CC446F" w:rsidRDefault="00CC446F" w:rsidP="003D3FC0">
            <w:pPr>
              <w:jc w:val="both"/>
              <w:rPr>
                <w:lang w:val="en-US"/>
              </w:rPr>
            </w:pPr>
            <w:r>
              <w:rPr>
                <w:lang w:val="en-US"/>
              </w:rPr>
              <w:t>College graduate</w:t>
            </w:r>
          </w:p>
          <w:p w14:paraId="1298E1E2" w14:textId="77777777" w:rsidR="00CC446F" w:rsidRDefault="00CC446F" w:rsidP="003D3FC0">
            <w:pPr>
              <w:jc w:val="both"/>
              <w:rPr>
                <w:lang w:val="en-US"/>
              </w:rPr>
            </w:pPr>
            <w:r>
              <w:rPr>
                <w:lang w:val="en-US"/>
              </w:rPr>
              <w:t>University graduate</w:t>
            </w:r>
          </w:p>
        </w:tc>
        <w:tc>
          <w:tcPr>
            <w:tcW w:w="1647" w:type="dxa"/>
          </w:tcPr>
          <w:p w14:paraId="0E1E4451" w14:textId="77777777" w:rsidR="00CC446F" w:rsidRDefault="00CC446F" w:rsidP="003D3FC0">
            <w:pPr>
              <w:jc w:val="center"/>
              <w:rPr>
                <w:lang w:val="en-US"/>
              </w:rPr>
            </w:pPr>
            <w:r>
              <w:rPr>
                <w:lang w:val="en-US"/>
              </w:rPr>
              <w:t>11</w:t>
            </w:r>
          </w:p>
          <w:p w14:paraId="3A2F8728" w14:textId="77777777" w:rsidR="00CC446F" w:rsidRDefault="00CC446F" w:rsidP="003D3FC0">
            <w:pPr>
              <w:jc w:val="center"/>
              <w:rPr>
                <w:lang w:val="en-US"/>
              </w:rPr>
            </w:pPr>
            <w:r>
              <w:rPr>
                <w:lang w:val="en-US"/>
              </w:rPr>
              <w:t>36</w:t>
            </w:r>
          </w:p>
          <w:p w14:paraId="4C60D80E" w14:textId="77777777" w:rsidR="00CC446F" w:rsidRDefault="00CC446F" w:rsidP="003D3FC0">
            <w:pPr>
              <w:jc w:val="center"/>
              <w:rPr>
                <w:lang w:val="en-US"/>
              </w:rPr>
            </w:pPr>
            <w:r>
              <w:rPr>
                <w:lang w:val="en-US"/>
              </w:rPr>
              <w:t>73</w:t>
            </w:r>
          </w:p>
          <w:p w14:paraId="3A4D78B6" w14:textId="77777777" w:rsidR="00CC446F" w:rsidRDefault="00CC446F" w:rsidP="003D3FC0">
            <w:pPr>
              <w:jc w:val="center"/>
              <w:rPr>
                <w:lang w:val="en-US"/>
              </w:rPr>
            </w:pPr>
            <w:r>
              <w:rPr>
                <w:lang w:val="en-US"/>
              </w:rPr>
              <w:t>11</w:t>
            </w:r>
          </w:p>
          <w:p w14:paraId="491CBFF9" w14:textId="77777777" w:rsidR="00CC446F" w:rsidRDefault="00CC446F" w:rsidP="003D3FC0">
            <w:pPr>
              <w:jc w:val="center"/>
              <w:rPr>
                <w:lang w:val="en-US"/>
              </w:rPr>
            </w:pPr>
            <w:r>
              <w:rPr>
                <w:lang w:val="en-US"/>
              </w:rPr>
              <w:t>19</w:t>
            </w:r>
          </w:p>
        </w:tc>
        <w:tc>
          <w:tcPr>
            <w:tcW w:w="2093" w:type="dxa"/>
          </w:tcPr>
          <w:p w14:paraId="6EFD95D6" w14:textId="77777777" w:rsidR="00CC446F" w:rsidRDefault="00CC446F" w:rsidP="003D3FC0">
            <w:pPr>
              <w:jc w:val="center"/>
              <w:rPr>
                <w:lang w:val="en-US"/>
              </w:rPr>
            </w:pPr>
            <w:r>
              <w:rPr>
                <w:lang w:val="en-US"/>
              </w:rPr>
              <w:t>7.33%</w:t>
            </w:r>
          </w:p>
          <w:p w14:paraId="116A1F8B" w14:textId="77777777" w:rsidR="00CC446F" w:rsidRDefault="00CC446F" w:rsidP="003D3FC0">
            <w:pPr>
              <w:jc w:val="center"/>
              <w:rPr>
                <w:lang w:val="en-US"/>
              </w:rPr>
            </w:pPr>
            <w:r>
              <w:rPr>
                <w:lang w:val="en-US"/>
              </w:rPr>
              <w:t>24.00%</w:t>
            </w:r>
          </w:p>
          <w:p w14:paraId="2F48C115" w14:textId="77777777" w:rsidR="00CC446F" w:rsidRDefault="00CC446F" w:rsidP="003D3FC0">
            <w:pPr>
              <w:jc w:val="center"/>
              <w:rPr>
                <w:lang w:val="en-US"/>
              </w:rPr>
            </w:pPr>
            <w:r>
              <w:rPr>
                <w:lang w:val="en-US"/>
              </w:rPr>
              <w:t>48.67%</w:t>
            </w:r>
          </w:p>
          <w:p w14:paraId="15241534" w14:textId="77777777" w:rsidR="00CC446F" w:rsidRDefault="00CC446F" w:rsidP="003D3FC0">
            <w:pPr>
              <w:jc w:val="center"/>
              <w:rPr>
                <w:lang w:val="en-US"/>
              </w:rPr>
            </w:pPr>
            <w:r>
              <w:rPr>
                <w:lang w:val="en-US"/>
              </w:rPr>
              <w:t>7.33%</w:t>
            </w:r>
          </w:p>
          <w:p w14:paraId="244E25D0" w14:textId="77777777" w:rsidR="00CC446F" w:rsidRDefault="00CC446F" w:rsidP="003D3FC0">
            <w:pPr>
              <w:jc w:val="center"/>
              <w:rPr>
                <w:lang w:val="en-US"/>
              </w:rPr>
            </w:pPr>
            <w:r>
              <w:rPr>
                <w:lang w:val="en-US"/>
              </w:rPr>
              <w:t>12.67%</w:t>
            </w:r>
          </w:p>
        </w:tc>
      </w:tr>
      <w:tr w:rsidR="00CC446F" w:rsidRPr="008B46D6" w14:paraId="472E286D" w14:textId="77777777" w:rsidTr="003D3FC0">
        <w:trPr>
          <w:trHeight w:val="20"/>
        </w:trPr>
        <w:tc>
          <w:tcPr>
            <w:tcW w:w="2547" w:type="dxa"/>
          </w:tcPr>
          <w:p w14:paraId="4D1D2646" w14:textId="77777777" w:rsidR="00CC446F" w:rsidRDefault="00CC446F" w:rsidP="003D3FC0">
            <w:pPr>
              <w:jc w:val="both"/>
              <w:rPr>
                <w:lang w:val="en-US"/>
              </w:rPr>
            </w:pPr>
            <w:r>
              <w:rPr>
                <w:lang w:val="en-US"/>
              </w:rPr>
              <w:t>Income (income)</w:t>
            </w:r>
          </w:p>
        </w:tc>
        <w:tc>
          <w:tcPr>
            <w:tcW w:w="2072" w:type="dxa"/>
          </w:tcPr>
          <w:p w14:paraId="725239DF" w14:textId="77777777" w:rsidR="00CC446F" w:rsidRDefault="00CC446F" w:rsidP="003D3FC0">
            <w:pPr>
              <w:jc w:val="both"/>
              <w:rPr>
                <w:lang w:val="en-US"/>
              </w:rPr>
            </w:pPr>
            <w:r>
              <w:rPr>
                <w:lang w:val="en-US"/>
              </w:rPr>
              <w:t>Very bad</w:t>
            </w:r>
          </w:p>
          <w:p w14:paraId="5783162C" w14:textId="77777777" w:rsidR="00CC446F" w:rsidRDefault="00CC446F" w:rsidP="003D3FC0">
            <w:pPr>
              <w:jc w:val="both"/>
              <w:rPr>
                <w:lang w:val="en-US"/>
              </w:rPr>
            </w:pPr>
            <w:r>
              <w:rPr>
                <w:lang w:val="en-US"/>
              </w:rPr>
              <w:t>Bad</w:t>
            </w:r>
          </w:p>
          <w:p w14:paraId="5AF6810E" w14:textId="77777777" w:rsidR="00CC446F" w:rsidRDefault="00CC446F" w:rsidP="003D3FC0">
            <w:pPr>
              <w:jc w:val="both"/>
              <w:rPr>
                <w:lang w:val="en-US"/>
              </w:rPr>
            </w:pPr>
            <w:r>
              <w:rPr>
                <w:lang w:val="en-US"/>
              </w:rPr>
              <w:t>Below average</w:t>
            </w:r>
          </w:p>
          <w:p w14:paraId="3DC1E594" w14:textId="77777777" w:rsidR="00CC446F" w:rsidRDefault="00CC446F" w:rsidP="003D3FC0">
            <w:pPr>
              <w:jc w:val="both"/>
              <w:rPr>
                <w:lang w:val="en-US"/>
              </w:rPr>
            </w:pPr>
            <w:r>
              <w:rPr>
                <w:lang w:val="en-US"/>
              </w:rPr>
              <w:t>Average</w:t>
            </w:r>
          </w:p>
          <w:p w14:paraId="52914365" w14:textId="77777777" w:rsidR="00CC446F" w:rsidRDefault="00CC446F" w:rsidP="003D3FC0">
            <w:pPr>
              <w:jc w:val="both"/>
              <w:rPr>
                <w:lang w:val="en-US"/>
              </w:rPr>
            </w:pPr>
            <w:r>
              <w:rPr>
                <w:lang w:val="en-US"/>
              </w:rPr>
              <w:t>Above average</w:t>
            </w:r>
          </w:p>
          <w:p w14:paraId="29D3515C" w14:textId="77777777" w:rsidR="00CC446F" w:rsidRDefault="00CC446F" w:rsidP="003D3FC0">
            <w:pPr>
              <w:jc w:val="both"/>
              <w:rPr>
                <w:lang w:val="en-US"/>
              </w:rPr>
            </w:pPr>
            <w:r>
              <w:rPr>
                <w:lang w:val="en-US"/>
              </w:rPr>
              <w:t>Good</w:t>
            </w:r>
          </w:p>
          <w:p w14:paraId="2AE4FDD5" w14:textId="77777777" w:rsidR="00CC446F" w:rsidRDefault="00CC446F" w:rsidP="003D3FC0">
            <w:pPr>
              <w:jc w:val="both"/>
              <w:rPr>
                <w:lang w:val="en-US"/>
              </w:rPr>
            </w:pPr>
            <w:r>
              <w:rPr>
                <w:lang w:val="en-US"/>
              </w:rPr>
              <w:t>Very good</w:t>
            </w:r>
          </w:p>
        </w:tc>
        <w:tc>
          <w:tcPr>
            <w:tcW w:w="1647" w:type="dxa"/>
          </w:tcPr>
          <w:p w14:paraId="2DEA8BD4" w14:textId="77777777" w:rsidR="00CC446F" w:rsidRDefault="00CC446F" w:rsidP="003D3FC0">
            <w:pPr>
              <w:jc w:val="center"/>
              <w:rPr>
                <w:lang w:val="en-US"/>
              </w:rPr>
            </w:pPr>
            <w:r>
              <w:rPr>
                <w:lang w:val="en-US"/>
              </w:rPr>
              <w:t>2</w:t>
            </w:r>
          </w:p>
          <w:p w14:paraId="1A030761" w14:textId="77777777" w:rsidR="00CC446F" w:rsidRDefault="00CC446F" w:rsidP="003D3FC0">
            <w:pPr>
              <w:jc w:val="center"/>
              <w:rPr>
                <w:lang w:val="en-US"/>
              </w:rPr>
            </w:pPr>
            <w:r>
              <w:rPr>
                <w:lang w:val="en-US"/>
              </w:rPr>
              <w:t>7</w:t>
            </w:r>
          </w:p>
          <w:p w14:paraId="013ED308" w14:textId="77777777" w:rsidR="00CC446F" w:rsidRDefault="00CC446F" w:rsidP="003D3FC0">
            <w:pPr>
              <w:jc w:val="center"/>
              <w:rPr>
                <w:lang w:val="en-US"/>
              </w:rPr>
            </w:pPr>
            <w:r>
              <w:rPr>
                <w:lang w:val="en-US"/>
              </w:rPr>
              <w:t>19</w:t>
            </w:r>
          </w:p>
          <w:p w14:paraId="6232959F" w14:textId="77777777" w:rsidR="00CC446F" w:rsidRDefault="00CC446F" w:rsidP="003D3FC0">
            <w:pPr>
              <w:jc w:val="center"/>
              <w:rPr>
                <w:lang w:val="en-US"/>
              </w:rPr>
            </w:pPr>
            <w:r>
              <w:rPr>
                <w:lang w:val="en-US"/>
              </w:rPr>
              <w:t>58</w:t>
            </w:r>
          </w:p>
          <w:p w14:paraId="49A2EC0C" w14:textId="77777777" w:rsidR="00CC446F" w:rsidRDefault="00CC446F" w:rsidP="003D3FC0">
            <w:pPr>
              <w:jc w:val="center"/>
              <w:rPr>
                <w:lang w:val="en-US"/>
              </w:rPr>
            </w:pPr>
            <w:r>
              <w:rPr>
                <w:lang w:val="en-US"/>
              </w:rPr>
              <w:t>30</w:t>
            </w:r>
          </w:p>
          <w:p w14:paraId="0A467442" w14:textId="77777777" w:rsidR="00CC446F" w:rsidRDefault="00CC446F" w:rsidP="003D3FC0">
            <w:pPr>
              <w:jc w:val="center"/>
              <w:rPr>
                <w:lang w:val="en-US"/>
              </w:rPr>
            </w:pPr>
            <w:r>
              <w:rPr>
                <w:lang w:val="en-US"/>
              </w:rPr>
              <w:t>26</w:t>
            </w:r>
          </w:p>
          <w:p w14:paraId="4BE6D108" w14:textId="77777777" w:rsidR="00CC446F" w:rsidRDefault="00CC446F" w:rsidP="003D3FC0">
            <w:pPr>
              <w:jc w:val="center"/>
              <w:rPr>
                <w:lang w:val="en-US"/>
              </w:rPr>
            </w:pPr>
            <w:r>
              <w:rPr>
                <w:lang w:val="en-US"/>
              </w:rPr>
              <w:t>8</w:t>
            </w:r>
          </w:p>
        </w:tc>
        <w:tc>
          <w:tcPr>
            <w:tcW w:w="2093" w:type="dxa"/>
          </w:tcPr>
          <w:p w14:paraId="70EDFD90" w14:textId="77777777" w:rsidR="00CC446F" w:rsidRDefault="00CC446F" w:rsidP="003D3FC0">
            <w:pPr>
              <w:jc w:val="center"/>
              <w:rPr>
                <w:lang w:val="en-US"/>
              </w:rPr>
            </w:pPr>
            <w:r>
              <w:rPr>
                <w:lang w:val="en-US"/>
              </w:rPr>
              <w:t>1.33%</w:t>
            </w:r>
          </w:p>
          <w:p w14:paraId="75257F76" w14:textId="77777777" w:rsidR="00CC446F" w:rsidRDefault="00CC446F" w:rsidP="003D3FC0">
            <w:pPr>
              <w:jc w:val="center"/>
              <w:rPr>
                <w:lang w:val="en-US"/>
              </w:rPr>
            </w:pPr>
            <w:r>
              <w:rPr>
                <w:lang w:val="en-US"/>
              </w:rPr>
              <w:t>4.67%</w:t>
            </w:r>
          </w:p>
          <w:p w14:paraId="3A97BF57" w14:textId="77777777" w:rsidR="00CC446F" w:rsidRDefault="00CC446F" w:rsidP="003D3FC0">
            <w:pPr>
              <w:jc w:val="center"/>
              <w:rPr>
                <w:lang w:val="en-US"/>
              </w:rPr>
            </w:pPr>
            <w:r>
              <w:rPr>
                <w:lang w:val="en-US"/>
              </w:rPr>
              <w:t>12.67%</w:t>
            </w:r>
          </w:p>
          <w:p w14:paraId="6A942E9D" w14:textId="77777777" w:rsidR="00CC446F" w:rsidRDefault="00CC446F" w:rsidP="003D3FC0">
            <w:pPr>
              <w:jc w:val="center"/>
              <w:rPr>
                <w:lang w:val="en-US"/>
              </w:rPr>
            </w:pPr>
            <w:r>
              <w:rPr>
                <w:lang w:val="en-US"/>
              </w:rPr>
              <w:t>38.67%</w:t>
            </w:r>
          </w:p>
          <w:p w14:paraId="51CD3E36" w14:textId="77777777" w:rsidR="00CC446F" w:rsidRDefault="00CC446F" w:rsidP="003D3FC0">
            <w:pPr>
              <w:jc w:val="center"/>
              <w:rPr>
                <w:lang w:val="en-US"/>
              </w:rPr>
            </w:pPr>
            <w:r>
              <w:rPr>
                <w:lang w:val="en-US"/>
              </w:rPr>
              <w:t>20.00%</w:t>
            </w:r>
          </w:p>
          <w:p w14:paraId="49D87D27" w14:textId="77777777" w:rsidR="00CC446F" w:rsidRDefault="00CC446F" w:rsidP="003D3FC0">
            <w:pPr>
              <w:jc w:val="center"/>
              <w:rPr>
                <w:lang w:val="en-US"/>
              </w:rPr>
            </w:pPr>
            <w:r>
              <w:rPr>
                <w:lang w:val="en-US"/>
              </w:rPr>
              <w:t>17.33%</w:t>
            </w:r>
          </w:p>
          <w:p w14:paraId="11460B5A" w14:textId="77777777" w:rsidR="00CC446F" w:rsidRDefault="00CC446F" w:rsidP="003D3FC0">
            <w:pPr>
              <w:jc w:val="center"/>
              <w:rPr>
                <w:lang w:val="en-US"/>
              </w:rPr>
            </w:pPr>
            <w:r>
              <w:rPr>
                <w:lang w:val="en-US"/>
              </w:rPr>
              <w:t>5.33%</w:t>
            </w:r>
          </w:p>
        </w:tc>
      </w:tr>
      <w:tr w:rsidR="00CC446F" w:rsidRPr="008B46D6" w14:paraId="5389A53C" w14:textId="77777777" w:rsidTr="003D3FC0">
        <w:trPr>
          <w:trHeight w:val="20"/>
        </w:trPr>
        <w:tc>
          <w:tcPr>
            <w:tcW w:w="2547" w:type="dxa"/>
          </w:tcPr>
          <w:p w14:paraId="50D1C84B" w14:textId="77777777" w:rsidR="00CC446F" w:rsidRDefault="00CC446F" w:rsidP="003D3FC0">
            <w:pPr>
              <w:jc w:val="both"/>
              <w:rPr>
                <w:lang w:val="en-US"/>
              </w:rPr>
            </w:pPr>
            <w:r>
              <w:rPr>
                <w:lang w:val="en-US"/>
              </w:rPr>
              <w:t>Application of a ‘’new method’’ (</w:t>
            </w:r>
            <w:proofErr w:type="spellStart"/>
            <w:r>
              <w:rPr>
                <w:lang w:val="en-US"/>
              </w:rPr>
              <w:t>innov</w:t>
            </w:r>
            <w:proofErr w:type="spellEnd"/>
            <w:r>
              <w:rPr>
                <w:lang w:val="en-US"/>
              </w:rPr>
              <w:t>)</w:t>
            </w:r>
          </w:p>
        </w:tc>
        <w:tc>
          <w:tcPr>
            <w:tcW w:w="2072" w:type="dxa"/>
          </w:tcPr>
          <w:p w14:paraId="1AFDD843" w14:textId="77777777" w:rsidR="00CC446F" w:rsidRDefault="00CC446F" w:rsidP="003D3FC0">
            <w:pPr>
              <w:jc w:val="both"/>
              <w:rPr>
                <w:lang w:val="en-US"/>
              </w:rPr>
            </w:pPr>
            <w:r>
              <w:rPr>
                <w:lang w:val="en-US"/>
              </w:rPr>
              <w:t>Yes</w:t>
            </w:r>
          </w:p>
          <w:p w14:paraId="175E5537" w14:textId="77777777" w:rsidR="00CC446F" w:rsidRDefault="00CC446F" w:rsidP="003D3FC0">
            <w:pPr>
              <w:jc w:val="both"/>
              <w:rPr>
                <w:lang w:val="en-US"/>
              </w:rPr>
            </w:pPr>
            <w:r>
              <w:rPr>
                <w:lang w:val="en-US"/>
              </w:rPr>
              <w:t>No</w:t>
            </w:r>
          </w:p>
        </w:tc>
        <w:tc>
          <w:tcPr>
            <w:tcW w:w="1647" w:type="dxa"/>
          </w:tcPr>
          <w:p w14:paraId="18F7CE6A" w14:textId="77777777" w:rsidR="00CC446F" w:rsidRDefault="00CC446F" w:rsidP="003D3FC0">
            <w:pPr>
              <w:jc w:val="center"/>
              <w:rPr>
                <w:lang w:val="en-US"/>
              </w:rPr>
            </w:pPr>
            <w:r>
              <w:rPr>
                <w:lang w:val="en-US"/>
              </w:rPr>
              <w:t>38</w:t>
            </w:r>
          </w:p>
          <w:p w14:paraId="75B66B28" w14:textId="77777777" w:rsidR="00CC446F" w:rsidRDefault="00CC446F" w:rsidP="003D3FC0">
            <w:pPr>
              <w:jc w:val="center"/>
              <w:rPr>
                <w:lang w:val="en-US"/>
              </w:rPr>
            </w:pPr>
            <w:r>
              <w:rPr>
                <w:lang w:val="en-US"/>
              </w:rPr>
              <w:t>112</w:t>
            </w:r>
          </w:p>
        </w:tc>
        <w:tc>
          <w:tcPr>
            <w:tcW w:w="2093" w:type="dxa"/>
          </w:tcPr>
          <w:p w14:paraId="7239D5A3" w14:textId="77777777" w:rsidR="00CC446F" w:rsidRDefault="00CC446F" w:rsidP="003D3FC0">
            <w:pPr>
              <w:jc w:val="center"/>
              <w:rPr>
                <w:lang w:val="en-US"/>
              </w:rPr>
            </w:pPr>
            <w:r>
              <w:rPr>
                <w:lang w:val="en-US"/>
              </w:rPr>
              <w:t>25.33%</w:t>
            </w:r>
          </w:p>
          <w:p w14:paraId="2FC5D503" w14:textId="77777777" w:rsidR="00CC446F" w:rsidRDefault="00CC446F" w:rsidP="003D3FC0">
            <w:pPr>
              <w:jc w:val="center"/>
              <w:rPr>
                <w:lang w:val="en-US"/>
              </w:rPr>
            </w:pPr>
            <w:r>
              <w:rPr>
                <w:lang w:val="en-US"/>
              </w:rPr>
              <w:t>74.67%</w:t>
            </w:r>
          </w:p>
        </w:tc>
      </w:tr>
      <w:tr w:rsidR="00CC446F" w:rsidRPr="008B46D6" w14:paraId="5E80E7F2" w14:textId="77777777" w:rsidTr="003D3FC0">
        <w:trPr>
          <w:trHeight w:val="20"/>
        </w:trPr>
        <w:tc>
          <w:tcPr>
            <w:tcW w:w="2547" w:type="dxa"/>
          </w:tcPr>
          <w:p w14:paraId="6294E422" w14:textId="77777777" w:rsidR="00CC446F" w:rsidRDefault="00CC446F" w:rsidP="003D3FC0">
            <w:pPr>
              <w:jc w:val="both"/>
              <w:rPr>
                <w:lang w:val="en-US"/>
              </w:rPr>
            </w:pPr>
            <w:r>
              <w:rPr>
                <w:lang w:val="en-US"/>
              </w:rPr>
              <w:t>Salinity problem (</w:t>
            </w:r>
            <w:proofErr w:type="spellStart"/>
            <w:r>
              <w:rPr>
                <w:lang w:val="en-US"/>
              </w:rPr>
              <w:t>salpr</w:t>
            </w:r>
            <w:proofErr w:type="spellEnd"/>
            <w:r>
              <w:rPr>
                <w:lang w:val="en-US"/>
              </w:rPr>
              <w:t>)</w:t>
            </w:r>
          </w:p>
        </w:tc>
        <w:tc>
          <w:tcPr>
            <w:tcW w:w="2072" w:type="dxa"/>
          </w:tcPr>
          <w:p w14:paraId="0500D76E" w14:textId="77777777" w:rsidR="00CC446F" w:rsidRDefault="00CC446F" w:rsidP="003D3FC0">
            <w:pPr>
              <w:jc w:val="both"/>
              <w:rPr>
                <w:lang w:val="en-US"/>
              </w:rPr>
            </w:pPr>
            <w:r>
              <w:rPr>
                <w:lang w:val="en-US"/>
              </w:rPr>
              <w:t>Yes</w:t>
            </w:r>
          </w:p>
          <w:p w14:paraId="0C5539BB" w14:textId="77777777" w:rsidR="00CC446F" w:rsidRDefault="00CC446F" w:rsidP="003D3FC0">
            <w:pPr>
              <w:jc w:val="both"/>
              <w:rPr>
                <w:lang w:val="en-US"/>
              </w:rPr>
            </w:pPr>
            <w:r>
              <w:rPr>
                <w:lang w:val="en-US"/>
              </w:rPr>
              <w:t>No</w:t>
            </w:r>
          </w:p>
          <w:p w14:paraId="3C947933" w14:textId="77777777" w:rsidR="00CC446F" w:rsidRDefault="00CC446F" w:rsidP="003D3FC0">
            <w:pPr>
              <w:jc w:val="both"/>
              <w:rPr>
                <w:lang w:val="en-US"/>
              </w:rPr>
            </w:pPr>
            <w:r>
              <w:rPr>
                <w:lang w:val="en-US"/>
              </w:rPr>
              <w:t>I don’t know</w:t>
            </w:r>
          </w:p>
        </w:tc>
        <w:tc>
          <w:tcPr>
            <w:tcW w:w="1647" w:type="dxa"/>
          </w:tcPr>
          <w:p w14:paraId="26FA7132" w14:textId="77777777" w:rsidR="00CC446F" w:rsidRDefault="00CC446F" w:rsidP="003D3FC0">
            <w:pPr>
              <w:jc w:val="center"/>
              <w:rPr>
                <w:lang w:val="en-US"/>
              </w:rPr>
            </w:pPr>
            <w:r>
              <w:rPr>
                <w:lang w:val="en-US"/>
              </w:rPr>
              <w:t>86</w:t>
            </w:r>
          </w:p>
          <w:p w14:paraId="70D55291" w14:textId="77777777" w:rsidR="00CC446F" w:rsidRDefault="00CC446F" w:rsidP="003D3FC0">
            <w:pPr>
              <w:jc w:val="center"/>
              <w:rPr>
                <w:lang w:val="en-US"/>
              </w:rPr>
            </w:pPr>
            <w:r>
              <w:rPr>
                <w:lang w:val="en-US"/>
              </w:rPr>
              <w:t>26</w:t>
            </w:r>
          </w:p>
          <w:p w14:paraId="42CD88D9" w14:textId="77777777" w:rsidR="00CC446F" w:rsidRDefault="00CC446F" w:rsidP="003D3FC0">
            <w:pPr>
              <w:jc w:val="center"/>
              <w:rPr>
                <w:lang w:val="en-US"/>
              </w:rPr>
            </w:pPr>
            <w:r>
              <w:rPr>
                <w:lang w:val="en-US"/>
              </w:rPr>
              <w:t>38</w:t>
            </w:r>
          </w:p>
        </w:tc>
        <w:tc>
          <w:tcPr>
            <w:tcW w:w="2093" w:type="dxa"/>
          </w:tcPr>
          <w:p w14:paraId="6207D68E" w14:textId="77777777" w:rsidR="00CC446F" w:rsidRDefault="00CC446F" w:rsidP="003D3FC0">
            <w:pPr>
              <w:jc w:val="center"/>
              <w:rPr>
                <w:lang w:val="en-US"/>
              </w:rPr>
            </w:pPr>
            <w:r>
              <w:rPr>
                <w:lang w:val="en-US"/>
              </w:rPr>
              <w:t>57.33%</w:t>
            </w:r>
          </w:p>
          <w:p w14:paraId="61BEEABD" w14:textId="77777777" w:rsidR="00CC446F" w:rsidRDefault="00CC446F" w:rsidP="003D3FC0">
            <w:pPr>
              <w:jc w:val="center"/>
              <w:rPr>
                <w:lang w:val="en-US"/>
              </w:rPr>
            </w:pPr>
            <w:r>
              <w:rPr>
                <w:lang w:val="en-US"/>
              </w:rPr>
              <w:t>25.33%</w:t>
            </w:r>
          </w:p>
          <w:p w14:paraId="744036BD" w14:textId="77777777" w:rsidR="00CC446F" w:rsidRDefault="00CC446F" w:rsidP="003D3FC0">
            <w:pPr>
              <w:jc w:val="center"/>
              <w:rPr>
                <w:lang w:val="en-US"/>
              </w:rPr>
            </w:pPr>
            <w:r>
              <w:rPr>
                <w:lang w:val="en-US"/>
              </w:rPr>
              <w:t>17.33%</w:t>
            </w:r>
          </w:p>
        </w:tc>
      </w:tr>
      <w:tr w:rsidR="00CC446F" w:rsidRPr="008B46D6" w14:paraId="5BA3BCD7" w14:textId="77777777" w:rsidTr="003D3FC0">
        <w:trPr>
          <w:trHeight w:val="20"/>
        </w:trPr>
        <w:tc>
          <w:tcPr>
            <w:tcW w:w="2547" w:type="dxa"/>
          </w:tcPr>
          <w:p w14:paraId="124F0F5A" w14:textId="77777777" w:rsidR="00CC446F" w:rsidRDefault="00CC446F" w:rsidP="003D3FC0">
            <w:pPr>
              <w:jc w:val="both"/>
              <w:rPr>
                <w:lang w:val="en-US"/>
              </w:rPr>
            </w:pPr>
            <w:r>
              <w:rPr>
                <w:lang w:val="en-US"/>
              </w:rPr>
              <w:t>Product against salinity (</w:t>
            </w:r>
            <w:proofErr w:type="spellStart"/>
            <w:r>
              <w:rPr>
                <w:lang w:val="en-US"/>
              </w:rPr>
              <w:t>proion</w:t>
            </w:r>
            <w:proofErr w:type="spellEnd"/>
            <w:r>
              <w:rPr>
                <w:lang w:val="en-US"/>
              </w:rPr>
              <w:t>)</w:t>
            </w:r>
          </w:p>
        </w:tc>
        <w:tc>
          <w:tcPr>
            <w:tcW w:w="2072" w:type="dxa"/>
          </w:tcPr>
          <w:p w14:paraId="7E0C9A67" w14:textId="77777777" w:rsidR="00CC446F" w:rsidRDefault="00CC446F" w:rsidP="003D3FC0">
            <w:pPr>
              <w:jc w:val="both"/>
              <w:rPr>
                <w:lang w:val="en-US"/>
              </w:rPr>
            </w:pPr>
            <w:r>
              <w:rPr>
                <w:lang w:val="en-US"/>
              </w:rPr>
              <w:t>Yes</w:t>
            </w:r>
          </w:p>
          <w:p w14:paraId="448C4FCA" w14:textId="77777777" w:rsidR="00CC446F" w:rsidRDefault="00CC446F" w:rsidP="003D3FC0">
            <w:pPr>
              <w:jc w:val="both"/>
              <w:rPr>
                <w:lang w:val="en-US"/>
              </w:rPr>
            </w:pPr>
            <w:r>
              <w:rPr>
                <w:lang w:val="en-US"/>
              </w:rPr>
              <w:t>No</w:t>
            </w:r>
          </w:p>
        </w:tc>
        <w:tc>
          <w:tcPr>
            <w:tcW w:w="1647" w:type="dxa"/>
          </w:tcPr>
          <w:p w14:paraId="55DDC149" w14:textId="77777777" w:rsidR="00CC446F" w:rsidRDefault="00CC446F" w:rsidP="003D3FC0">
            <w:pPr>
              <w:jc w:val="center"/>
              <w:rPr>
                <w:lang w:val="en-US"/>
              </w:rPr>
            </w:pPr>
            <w:r>
              <w:rPr>
                <w:lang w:val="en-US"/>
              </w:rPr>
              <w:t>90</w:t>
            </w:r>
          </w:p>
          <w:p w14:paraId="374D039B" w14:textId="77777777" w:rsidR="00CC446F" w:rsidRDefault="00CC446F" w:rsidP="003D3FC0">
            <w:pPr>
              <w:jc w:val="center"/>
              <w:rPr>
                <w:lang w:val="en-US"/>
              </w:rPr>
            </w:pPr>
            <w:r>
              <w:rPr>
                <w:lang w:val="en-US"/>
              </w:rPr>
              <w:t>34</w:t>
            </w:r>
          </w:p>
        </w:tc>
        <w:tc>
          <w:tcPr>
            <w:tcW w:w="2093" w:type="dxa"/>
          </w:tcPr>
          <w:p w14:paraId="20903557" w14:textId="77777777" w:rsidR="00CC446F" w:rsidRDefault="00CC446F" w:rsidP="003D3FC0">
            <w:pPr>
              <w:jc w:val="center"/>
              <w:rPr>
                <w:lang w:val="en-US"/>
              </w:rPr>
            </w:pPr>
            <w:r>
              <w:rPr>
                <w:lang w:val="en-US"/>
              </w:rPr>
              <w:t>72.58%</w:t>
            </w:r>
          </w:p>
          <w:p w14:paraId="575B10E3" w14:textId="77777777" w:rsidR="00CC446F" w:rsidRDefault="00CC446F" w:rsidP="003D3FC0">
            <w:pPr>
              <w:jc w:val="center"/>
              <w:rPr>
                <w:lang w:val="en-US"/>
              </w:rPr>
            </w:pPr>
            <w:r>
              <w:rPr>
                <w:lang w:val="en-US"/>
              </w:rPr>
              <w:t>27.42%</w:t>
            </w:r>
          </w:p>
        </w:tc>
      </w:tr>
      <w:tr w:rsidR="00CC446F" w:rsidRPr="008B46D6" w14:paraId="3F639517" w14:textId="77777777" w:rsidTr="003D3FC0">
        <w:trPr>
          <w:trHeight w:val="20"/>
        </w:trPr>
        <w:tc>
          <w:tcPr>
            <w:tcW w:w="2547" w:type="dxa"/>
          </w:tcPr>
          <w:p w14:paraId="33905EEB" w14:textId="77777777" w:rsidR="00CC446F" w:rsidRPr="00A8562C" w:rsidRDefault="00CC446F" w:rsidP="003D3FC0">
            <w:pPr>
              <w:jc w:val="both"/>
            </w:pPr>
            <w:r>
              <w:rPr>
                <w:lang w:val="en-US"/>
              </w:rPr>
              <w:t>Satisfaction (</w:t>
            </w:r>
            <w:proofErr w:type="spellStart"/>
            <w:r>
              <w:rPr>
                <w:lang w:val="en-US"/>
              </w:rPr>
              <w:t>satisf</w:t>
            </w:r>
            <w:proofErr w:type="spellEnd"/>
            <w:r>
              <w:rPr>
                <w:lang w:val="en-US"/>
              </w:rPr>
              <w:t>)</w:t>
            </w:r>
          </w:p>
        </w:tc>
        <w:tc>
          <w:tcPr>
            <w:tcW w:w="2072" w:type="dxa"/>
          </w:tcPr>
          <w:p w14:paraId="44963CE8" w14:textId="77777777" w:rsidR="00CC446F" w:rsidRDefault="00CC446F" w:rsidP="003D3FC0">
            <w:pPr>
              <w:jc w:val="both"/>
              <w:rPr>
                <w:lang w:val="en-US"/>
              </w:rPr>
            </w:pPr>
            <w:r>
              <w:rPr>
                <w:lang w:val="en-US"/>
              </w:rPr>
              <w:t>Very little</w:t>
            </w:r>
          </w:p>
          <w:p w14:paraId="52AB5A76" w14:textId="77777777" w:rsidR="00CC446F" w:rsidRDefault="00CC446F" w:rsidP="003D3FC0">
            <w:pPr>
              <w:jc w:val="both"/>
              <w:rPr>
                <w:lang w:val="en-US"/>
              </w:rPr>
            </w:pPr>
            <w:r>
              <w:rPr>
                <w:lang w:val="en-US"/>
              </w:rPr>
              <w:t>Little</w:t>
            </w:r>
          </w:p>
          <w:p w14:paraId="12BA33F7" w14:textId="77777777" w:rsidR="00CC446F" w:rsidRDefault="00CC446F" w:rsidP="003D3FC0">
            <w:pPr>
              <w:jc w:val="both"/>
              <w:rPr>
                <w:lang w:val="en-US"/>
              </w:rPr>
            </w:pPr>
            <w:r>
              <w:rPr>
                <w:lang w:val="en-US"/>
              </w:rPr>
              <w:t>Medium</w:t>
            </w:r>
          </w:p>
          <w:p w14:paraId="0C684F12" w14:textId="77777777" w:rsidR="00CC446F" w:rsidRDefault="00CC446F" w:rsidP="003D3FC0">
            <w:pPr>
              <w:jc w:val="both"/>
              <w:rPr>
                <w:lang w:val="en-US"/>
              </w:rPr>
            </w:pPr>
            <w:r>
              <w:rPr>
                <w:lang w:val="en-US"/>
              </w:rPr>
              <w:t>Very</w:t>
            </w:r>
          </w:p>
          <w:p w14:paraId="18AE0BD5" w14:textId="77777777" w:rsidR="00CC446F" w:rsidRPr="00913A5B" w:rsidRDefault="00CC446F" w:rsidP="003D3FC0">
            <w:pPr>
              <w:jc w:val="both"/>
              <w:rPr>
                <w:lang w:val="en-US"/>
              </w:rPr>
            </w:pPr>
            <w:r>
              <w:rPr>
                <w:lang w:val="en-US"/>
              </w:rPr>
              <w:t>Very much</w:t>
            </w:r>
          </w:p>
        </w:tc>
        <w:tc>
          <w:tcPr>
            <w:tcW w:w="1647" w:type="dxa"/>
          </w:tcPr>
          <w:p w14:paraId="680896E2" w14:textId="77777777" w:rsidR="00CC446F" w:rsidRDefault="00CC446F" w:rsidP="003D3FC0">
            <w:pPr>
              <w:jc w:val="center"/>
              <w:rPr>
                <w:lang w:val="en-US"/>
              </w:rPr>
            </w:pPr>
            <w:r>
              <w:rPr>
                <w:lang w:val="en-US"/>
              </w:rPr>
              <w:t>1</w:t>
            </w:r>
          </w:p>
          <w:p w14:paraId="2C915842" w14:textId="77777777" w:rsidR="00CC446F" w:rsidRDefault="00CC446F" w:rsidP="003D3FC0">
            <w:pPr>
              <w:jc w:val="center"/>
              <w:rPr>
                <w:lang w:val="en-US"/>
              </w:rPr>
            </w:pPr>
            <w:r>
              <w:rPr>
                <w:lang w:val="en-US"/>
              </w:rPr>
              <w:t>12</w:t>
            </w:r>
          </w:p>
          <w:p w14:paraId="5EF3B4FD" w14:textId="77777777" w:rsidR="00CC446F" w:rsidRDefault="00CC446F" w:rsidP="003D3FC0">
            <w:pPr>
              <w:jc w:val="center"/>
              <w:rPr>
                <w:lang w:val="en-US"/>
              </w:rPr>
            </w:pPr>
            <w:r>
              <w:rPr>
                <w:lang w:val="en-US"/>
              </w:rPr>
              <w:t>13</w:t>
            </w:r>
          </w:p>
          <w:p w14:paraId="46734605" w14:textId="77777777" w:rsidR="00CC446F" w:rsidRDefault="00CC446F" w:rsidP="003D3FC0">
            <w:pPr>
              <w:jc w:val="center"/>
              <w:rPr>
                <w:lang w:val="en-US"/>
              </w:rPr>
            </w:pPr>
            <w:r>
              <w:rPr>
                <w:lang w:val="en-US"/>
              </w:rPr>
              <w:t>4</w:t>
            </w:r>
          </w:p>
          <w:p w14:paraId="4F520E2C" w14:textId="77777777" w:rsidR="00CC446F" w:rsidRDefault="00CC446F" w:rsidP="003D3FC0">
            <w:pPr>
              <w:jc w:val="center"/>
              <w:rPr>
                <w:lang w:val="en-US"/>
              </w:rPr>
            </w:pPr>
            <w:r>
              <w:rPr>
                <w:lang w:val="en-US"/>
              </w:rPr>
              <w:t>4</w:t>
            </w:r>
          </w:p>
        </w:tc>
        <w:tc>
          <w:tcPr>
            <w:tcW w:w="2093" w:type="dxa"/>
          </w:tcPr>
          <w:p w14:paraId="19F69E74" w14:textId="77777777" w:rsidR="00CC446F" w:rsidRDefault="00CC446F" w:rsidP="003D3FC0">
            <w:pPr>
              <w:jc w:val="center"/>
              <w:rPr>
                <w:lang w:val="en-US"/>
              </w:rPr>
            </w:pPr>
            <w:r>
              <w:rPr>
                <w:lang w:val="en-US"/>
              </w:rPr>
              <w:t>2.95%</w:t>
            </w:r>
          </w:p>
          <w:p w14:paraId="25299445" w14:textId="77777777" w:rsidR="00CC446F" w:rsidRDefault="00CC446F" w:rsidP="003D3FC0">
            <w:pPr>
              <w:jc w:val="center"/>
              <w:rPr>
                <w:lang w:val="en-US"/>
              </w:rPr>
            </w:pPr>
            <w:r>
              <w:rPr>
                <w:lang w:val="en-US"/>
              </w:rPr>
              <w:t>35.30%</w:t>
            </w:r>
          </w:p>
          <w:p w14:paraId="4729E386" w14:textId="77777777" w:rsidR="00CC446F" w:rsidRDefault="00CC446F" w:rsidP="003D3FC0">
            <w:pPr>
              <w:jc w:val="center"/>
              <w:rPr>
                <w:lang w:val="en-US"/>
              </w:rPr>
            </w:pPr>
            <w:r>
              <w:rPr>
                <w:lang w:val="en-US"/>
              </w:rPr>
              <w:t>38.23%</w:t>
            </w:r>
          </w:p>
          <w:p w14:paraId="2D0A57F5" w14:textId="77777777" w:rsidR="00CC446F" w:rsidRDefault="00CC446F" w:rsidP="003D3FC0">
            <w:pPr>
              <w:jc w:val="center"/>
              <w:rPr>
                <w:lang w:val="en-US"/>
              </w:rPr>
            </w:pPr>
            <w:r>
              <w:rPr>
                <w:lang w:val="en-US"/>
              </w:rPr>
              <w:t>11.76%</w:t>
            </w:r>
          </w:p>
          <w:p w14:paraId="00DD2867" w14:textId="77777777" w:rsidR="00CC446F" w:rsidRDefault="00CC446F" w:rsidP="003D3FC0">
            <w:pPr>
              <w:jc w:val="center"/>
              <w:rPr>
                <w:lang w:val="en-US"/>
              </w:rPr>
            </w:pPr>
            <w:r>
              <w:rPr>
                <w:lang w:val="en-US"/>
              </w:rPr>
              <w:t>11.76%</w:t>
            </w:r>
          </w:p>
        </w:tc>
      </w:tr>
      <w:tr w:rsidR="00CC446F" w:rsidRPr="00AD4D04" w14:paraId="1B0195D8" w14:textId="77777777" w:rsidTr="003D3FC0">
        <w:trPr>
          <w:trHeight w:val="20"/>
        </w:trPr>
        <w:tc>
          <w:tcPr>
            <w:tcW w:w="2547" w:type="dxa"/>
            <w:tcBorders>
              <w:bottom w:val="double" w:sz="4" w:space="0" w:color="auto"/>
            </w:tcBorders>
          </w:tcPr>
          <w:p w14:paraId="6A5B6A7F" w14:textId="77777777" w:rsidR="00CC446F" w:rsidRDefault="00CC446F" w:rsidP="003D3FC0">
            <w:pPr>
              <w:jc w:val="both"/>
              <w:rPr>
                <w:lang w:val="en-US"/>
              </w:rPr>
            </w:pPr>
            <w:r>
              <w:rPr>
                <w:lang w:val="en-US"/>
              </w:rPr>
              <w:t>Package of fertilizer that farmers usually buy (</w:t>
            </w:r>
            <w:proofErr w:type="spellStart"/>
            <w:r>
              <w:rPr>
                <w:lang w:val="en-US"/>
              </w:rPr>
              <w:t>susk</w:t>
            </w:r>
            <w:proofErr w:type="spellEnd"/>
            <w:r>
              <w:rPr>
                <w:lang w:val="en-US"/>
              </w:rPr>
              <w:t>)</w:t>
            </w:r>
          </w:p>
        </w:tc>
        <w:tc>
          <w:tcPr>
            <w:tcW w:w="2072" w:type="dxa"/>
            <w:tcBorders>
              <w:bottom w:val="double" w:sz="4" w:space="0" w:color="000000"/>
            </w:tcBorders>
          </w:tcPr>
          <w:p w14:paraId="501178F4" w14:textId="77777777" w:rsidR="00CC446F" w:rsidRDefault="00CC446F" w:rsidP="003D3FC0">
            <w:pPr>
              <w:jc w:val="both"/>
              <w:rPr>
                <w:lang w:val="en-US"/>
              </w:rPr>
            </w:pPr>
            <w:r>
              <w:rPr>
                <w:lang w:val="en-US"/>
              </w:rPr>
              <w:t>Unpacked</w:t>
            </w:r>
          </w:p>
          <w:p w14:paraId="495A1B48" w14:textId="77777777" w:rsidR="00CC446F" w:rsidRDefault="00CC446F" w:rsidP="003D3FC0">
            <w:pPr>
              <w:jc w:val="both"/>
              <w:rPr>
                <w:lang w:val="en-US"/>
              </w:rPr>
            </w:pPr>
            <w:r>
              <w:rPr>
                <w:lang w:val="en-US"/>
              </w:rPr>
              <w:t xml:space="preserve">1 </w:t>
            </w:r>
            <w:proofErr w:type="spellStart"/>
            <w:r>
              <w:rPr>
                <w:lang w:val="en-US"/>
              </w:rPr>
              <w:t>lt</w:t>
            </w:r>
            <w:proofErr w:type="spellEnd"/>
          </w:p>
          <w:p w14:paraId="20D56F8D" w14:textId="77777777" w:rsidR="00CC446F" w:rsidRDefault="00CC446F" w:rsidP="003D3FC0">
            <w:pPr>
              <w:jc w:val="both"/>
              <w:rPr>
                <w:lang w:val="en-US"/>
              </w:rPr>
            </w:pPr>
            <w:r>
              <w:rPr>
                <w:lang w:val="en-US"/>
              </w:rPr>
              <w:t xml:space="preserve">2,5 </w:t>
            </w:r>
            <w:proofErr w:type="spellStart"/>
            <w:r>
              <w:rPr>
                <w:lang w:val="en-US"/>
              </w:rPr>
              <w:t>lt</w:t>
            </w:r>
            <w:proofErr w:type="spellEnd"/>
          </w:p>
          <w:p w14:paraId="37253842" w14:textId="77777777" w:rsidR="00CC446F" w:rsidRDefault="00CC446F" w:rsidP="003D3FC0">
            <w:pPr>
              <w:jc w:val="both"/>
              <w:rPr>
                <w:lang w:val="en-US"/>
              </w:rPr>
            </w:pPr>
            <w:r>
              <w:rPr>
                <w:lang w:val="en-US"/>
              </w:rPr>
              <w:t xml:space="preserve">5 </w:t>
            </w:r>
            <w:proofErr w:type="spellStart"/>
            <w:r>
              <w:rPr>
                <w:lang w:val="en-US"/>
              </w:rPr>
              <w:t>lt</w:t>
            </w:r>
            <w:proofErr w:type="spellEnd"/>
          </w:p>
          <w:p w14:paraId="29EC131F" w14:textId="77777777" w:rsidR="00CC446F" w:rsidRDefault="00CC446F" w:rsidP="003D3FC0">
            <w:pPr>
              <w:jc w:val="both"/>
              <w:rPr>
                <w:lang w:val="en-US"/>
              </w:rPr>
            </w:pPr>
            <w:r>
              <w:rPr>
                <w:lang w:val="en-US"/>
              </w:rPr>
              <w:t>Do not buy liquid fertilizer</w:t>
            </w:r>
          </w:p>
          <w:p w14:paraId="60A64940" w14:textId="77777777" w:rsidR="00CC446F" w:rsidRDefault="00CC446F" w:rsidP="003D3FC0">
            <w:pPr>
              <w:jc w:val="both"/>
              <w:rPr>
                <w:lang w:val="en-US"/>
              </w:rPr>
            </w:pPr>
            <w:r>
              <w:rPr>
                <w:lang w:val="en-US"/>
              </w:rPr>
              <w:t xml:space="preserve">Package &gt; 10 </w:t>
            </w:r>
            <w:proofErr w:type="spellStart"/>
            <w:r>
              <w:rPr>
                <w:lang w:val="en-US"/>
              </w:rPr>
              <w:t>lt</w:t>
            </w:r>
            <w:proofErr w:type="spellEnd"/>
          </w:p>
        </w:tc>
        <w:tc>
          <w:tcPr>
            <w:tcW w:w="1647" w:type="dxa"/>
            <w:tcBorders>
              <w:bottom w:val="double" w:sz="4" w:space="0" w:color="000000"/>
            </w:tcBorders>
          </w:tcPr>
          <w:p w14:paraId="665516E8" w14:textId="77777777" w:rsidR="00CC446F" w:rsidRDefault="00CC446F" w:rsidP="003D3FC0">
            <w:pPr>
              <w:jc w:val="center"/>
              <w:rPr>
                <w:lang w:val="en-US"/>
              </w:rPr>
            </w:pPr>
            <w:r>
              <w:rPr>
                <w:lang w:val="en-US"/>
              </w:rPr>
              <w:t>0</w:t>
            </w:r>
          </w:p>
          <w:p w14:paraId="695CA961" w14:textId="77777777" w:rsidR="00CC446F" w:rsidRDefault="00CC446F" w:rsidP="003D3FC0">
            <w:pPr>
              <w:jc w:val="center"/>
              <w:rPr>
                <w:lang w:val="en-US"/>
              </w:rPr>
            </w:pPr>
            <w:r>
              <w:rPr>
                <w:lang w:val="en-US"/>
              </w:rPr>
              <w:t>22</w:t>
            </w:r>
          </w:p>
          <w:p w14:paraId="22DAEC0C" w14:textId="77777777" w:rsidR="00CC446F" w:rsidRDefault="00CC446F" w:rsidP="003D3FC0">
            <w:pPr>
              <w:jc w:val="center"/>
              <w:rPr>
                <w:lang w:val="en-US"/>
              </w:rPr>
            </w:pPr>
            <w:r>
              <w:rPr>
                <w:lang w:val="en-US"/>
              </w:rPr>
              <w:t>8</w:t>
            </w:r>
          </w:p>
          <w:p w14:paraId="439E3ADC" w14:textId="77777777" w:rsidR="00CC446F" w:rsidRDefault="00CC446F" w:rsidP="003D3FC0">
            <w:pPr>
              <w:jc w:val="center"/>
              <w:rPr>
                <w:lang w:val="en-US"/>
              </w:rPr>
            </w:pPr>
            <w:r>
              <w:rPr>
                <w:lang w:val="en-US"/>
              </w:rPr>
              <w:t>31</w:t>
            </w:r>
          </w:p>
          <w:p w14:paraId="2844F419" w14:textId="77777777" w:rsidR="00CC446F" w:rsidRDefault="00CC446F" w:rsidP="003D3FC0">
            <w:pPr>
              <w:jc w:val="center"/>
              <w:rPr>
                <w:lang w:val="en-US"/>
              </w:rPr>
            </w:pPr>
            <w:r>
              <w:rPr>
                <w:lang w:val="en-US"/>
              </w:rPr>
              <w:t>39</w:t>
            </w:r>
          </w:p>
          <w:p w14:paraId="78552551" w14:textId="77777777" w:rsidR="00CC446F" w:rsidRDefault="00CC446F" w:rsidP="003D3FC0">
            <w:pPr>
              <w:jc w:val="center"/>
              <w:rPr>
                <w:lang w:val="en-US"/>
              </w:rPr>
            </w:pPr>
          </w:p>
          <w:p w14:paraId="75858424" w14:textId="77777777" w:rsidR="00CC446F" w:rsidRDefault="00CC446F" w:rsidP="003D3FC0">
            <w:pPr>
              <w:jc w:val="center"/>
              <w:rPr>
                <w:lang w:val="en-US"/>
              </w:rPr>
            </w:pPr>
            <w:r>
              <w:rPr>
                <w:lang w:val="en-US"/>
              </w:rPr>
              <w:t>50</w:t>
            </w:r>
          </w:p>
        </w:tc>
        <w:tc>
          <w:tcPr>
            <w:tcW w:w="2093" w:type="dxa"/>
            <w:tcBorders>
              <w:bottom w:val="double" w:sz="4" w:space="0" w:color="auto"/>
            </w:tcBorders>
          </w:tcPr>
          <w:p w14:paraId="1E2B52B0" w14:textId="77777777" w:rsidR="00CC446F" w:rsidRDefault="00CC446F" w:rsidP="003D3FC0">
            <w:pPr>
              <w:jc w:val="center"/>
              <w:rPr>
                <w:lang w:val="en-US"/>
              </w:rPr>
            </w:pPr>
            <w:r>
              <w:rPr>
                <w:lang w:val="en-US"/>
              </w:rPr>
              <w:t>0.00%</w:t>
            </w:r>
          </w:p>
          <w:p w14:paraId="7F0FFC48" w14:textId="77777777" w:rsidR="00CC446F" w:rsidRDefault="00CC446F" w:rsidP="003D3FC0">
            <w:pPr>
              <w:jc w:val="center"/>
              <w:rPr>
                <w:lang w:val="en-US"/>
              </w:rPr>
            </w:pPr>
            <w:r>
              <w:rPr>
                <w:lang w:val="en-US"/>
              </w:rPr>
              <w:t>14.67%</w:t>
            </w:r>
          </w:p>
          <w:p w14:paraId="234E47E6" w14:textId="77777777" w:rsidR="00CC446F" w:rsidRDefault="00CC446F" w:rsidP="003D3FC0">
            <w:pPr>
              <w:jc w:val="center"/>
              <w:rPr>
                <w:lang w:val="en-US"/>
              </w:rPr>
            </w:pPr>
            <w:r>
              <w:rPr>
                <w:lang w:val="en-US"/>
              </w:rPr>
              <w:t>5.33%</w:t>
            </w:r>
          </w:p>
          <w:p w14:paraId="0D291235" w14:textId="77777777" w:rsidR="00CC446F" w:rsidRDefault="00CC446F" w:rsidP="003D3FC0">
            <w:pPr>
              <w:jc w:val="center"/>
              <w:rPr>
                <w:lang w:val="en-US"/>
              </w:rPr>
            </w:pPr>
            <w:r>
              <w:rPr>
                <w:lang w:val="en-US"/>
              </w:rPr>
              <w:t>20.67%</w:t>
            </w:r>
          </w:p>
          <w:p w14:paraId="7BAC31F3" w14:textId="77777777" w:rsidR="00CC446F" w:rsidRDefault="00CC446F" w:rsidP="003D3FC0">
            <w:pPr>
              <w:jc w:val="center"/>
              <w:rPr>
                <w:lang w:val="en-US"/>
              </w:rPr>
            </w:pPr>
            <w:r>
              <w:rPr>
                <w:lang w:val="en-US"/>
              </w:rPr>
              <w:t>26.00%</w:t>
            </w:r>
          </w:p>
          <w:p w14:paraId="1805280C" w14:textId="77777777" w:rsidR="00CC446F" w:rsidRDefault="00CC446F" w:rsidP="003D3FC0">
            <w:pPr>
              <w:jc w:val="center"/>
              <w:rPr>
                <w:lang w:val="en-US"/>
              </w:rPr>
            </w:pPr>
          </w:p>
          <w:p w14:paraId="18DE1613" w14:textId="77777777" w:rsidR="00CC446F" w:rsidRDefault="00CC446F" w:rsidP="003D3FC0">
            <w:pPr>
              <w:jc w:val="center"/>
              <w:rPr>
                <w:lang w:val="en-US"/>
              </w:rPr>
            </w:pPr>
            <w:r>
              <w:rPr>
                <w:lang w:val="en-US"/>
              </w:rPr>
              <w:t>33.33%</w:t>
            </w:r>
          </w:p>
        </w:tc>
      </w:tr>
    </w:tbl>
    <w:p w14:paraId="419D8FA4" w14:textId="77777777" w:rsidR="0081751C" w:rsidRDefault="0081751C" w:rsidP="00053D16">
      <w:pPr>
        <w:spacing w:after="120"/>
        <w:jc w:val="both"/>
        <w:rPr>
          <w:lang w:val="en-US"/>
        </w:rPr>
      </w:pPr>
    </w:p>
    <w:p w14:paraId="0547A3C1" w14:textId="77777777" w:rsidR="0013392C" w:rsidRDefault="00535D15" w:rsidP="00DC4DA9">
      <w:pPr>
        <w:spacing w:after="120"/>
        <w:jc w:val="both"/>
        <w:outlineLvl w:val="0"/>
        <w:rPr>
          <w:b/>
          <w:lang w:val="en-US"/>
        </w:rPr>
      </w:pPr>
      <w:r w:rsidRPr="00535D15">
        <w:rPr>
          <w:b/>
          <w:lang w:val="en-US"/>
        </w:rPr>
        <w:lastRenderedPageBreak/>
        <w:t xml:space="preserve">5. </w:t>
      </w:r>
      <w:r w:rsidR="00805A9A">
        <w:rPr>
          <w:b/>
          <w:lang w:val="en-US"/>
        </w:rPr>
        <w:t>Descriptive data analysis</w:t>
      </w:r>
    </w:p>
    <w:p w14:paraId="66704C5C" w14:textId="0171920E" w:rsidR="002576D7" w:rsidRDefault="00072175" w:rsidP="00B629C2">
      <w:pPr>
        <w:spacing w:after="120"/>
        <w:jc w:val="both"/>
        <w:rPr>
          <w:lang w:val="en-US"/>
        </w:rPr>
      </w:pPr>
      <w:r>
        <w:rPr>
          <w:lang w:val="en-US"/>
        </w:rPr>
        <w:t xml:space="preserve">Before the presentation of the econometric analysis we are able to </w:t>
      </w:r>
      <w:r w:rsidR="003560CB">
        <w:rPr>
          <w:lang w:val="en-US"/>
        </w:rPr>
        <w:t xml:space="preserve">find interesting information </w:t>
      </w:r>
      <w:r w:rsidR="007A0090">
        <w:rPr>
          <w:lang w:val="en-US"/>
        </w:rPr>
        <w:t xml:space="preserve">by looking at the </w:t>
      </w:r>
      <w:r w:rsidR="00DE6014">
        <w:rPr>
          <w:lang w:val="en-US"/>
        </w:rPr>
        <w:t xml:space="preserve">raw </w:t>
      </w:r>
      <w:r w:rsidR="007A0090">
        <w:rPr>
          <w:lang w:val="en-US"/>
        </w:rPr>
        <w:t>data</w:t>
      </w:r>
      <w:r w:rsidR="00EB7B91">
        <w:rPr>
          <w:lang w:val="en-US"/>
        </w:rPr>
        <w:t xml:space="preserve"> (</w:t>
      </w:r>
      <w:r w:rsidR="00CC446F">
        <w:rPr>
          <w:lang w:val="en-US"/>
        </w:rPr>
        <w:t xml:space="preserve">see </w:t>
      </w:r>
      <w:r w:rsidR="00EB7B91">
        <w:rPr>
          <w:lang w:val="en-US"/>
        </w:rPr>
        <w:t>Table 2</w:t>
      </w:r>
      <w:r w:rsidR="00913A5B">
        <w:rPr>
          <w:lang w:val="en-US"/>
        </w:rPr>
        <w:t>)</w:t>
      </w:r>
      <w:r w:rsidR="007A0090">
        <w:rPr>
          <w:lang w:val="en-US"/>
        </w:rPr>
        <w:t xml:space="preserve">. </w:t>
      </w:r>
      <w:r w:rsidR="001541B1">
        <w:rPr>
          <w:lang w:val="en-US"/>
        </w:rPr>
        <w:t xml:space="preserve">The ages of the subjects ranged between </w:t>
      </w:r>
      <w:r w:rsidR="009550E5">
        <w:rPr>
          <w:lang w:val="en-US"/>
        </w:rPr>
        <w:t xml:space="preserve">23 and 92 years and </w:t>
      </w:r>
      <w:r>
        <w:rPr>
          <w:lang w:val="en-US"/>
        </w:rPr>
        <w:t xml:space="preserve">averaged 49 years. </w:t>
      </w:r>
      <w:r w:rsidR="007A0090">
        <w:rPr>
          <w:lang w:val="en-US"/>
        </w:rPr>
        <w:t>The vast majority of respondents were males (94%) whiles females were 6 %. This might have been so because</w:t>
      </w:r>
      <w:r w:rsidR="00E229AA">
        <w:rPr>
          <w:lang w:val="en-US"/>
        </w:rPr>
        <w:t xml:space="preserve"> in</w:t>
      </w:r>
      <w:r w:rsidR="007A0090">
        <w:rPr>
          <w:lang w:val="en-US"/>
        </w:rPr>
        <w:t xml:space="preserve"> </w:t>
      </w:r>
      <w:r w:rsidR="00E177F3">
        <w:rPr>
          <w:lang w:val="en-US"/>
        </w:rPr>
        <w:t xml:space="preserve">Greek reality, and not only, agriculture is typically a ‘’male’’ </w:t>
      </w:r>
      <w:r w:rsidR="009711DC">
        <w:rPr>
          <w:lang w:val="en-US"/>
        </w:rPr>
        <w:t>job</w:t>
      </w:r>
      <w:r w:rsidR="00E177F3">
        <w:rPr>
          <w:lang w:val="en-US"/>
        </w:rPr>
        <w:t xml:space="preserve"> and hence, the proportion of men was expected to be much higher than that of women. Also, farmers’ educational level was measured at five levels: up to primary sch</w:t>
      </w:r>
      <w:r w:rsidR="00DE6014">
        <w:rPr>
          <w:lang w:val="en-US"/>
        </w:rPr>
        <w:t xml:space="preserve">ool, </w:t>
      </w:r>
      <w:r w:rsidR="00C170E1">
        <w:rPr>
          <w:lang w:val="en-US"/>
        </w:rPr>
        <w:t>primary</w:t>
      </w:r>
      <w:r w:rsidR="00DE6014">
        <w:rPr>
          <w:lang w:val="en-US"/>
        </w:rPr>
        <w:t xml:space="preserve"> school, </w:t>
      </w:r>
      <w:r w:rsidR="00C170E1">
        <w:rPr>
          <w:lang w:val="en-US"/>
        </w:rPr>
        <w:t>secondary</w:t>
      </w:r>
      <w:r w:rsidR="00DE6014">
        <w:rPr>
          <w:lang w:val="en-US"/>
        </w:rPr>
        <w:t xml:space="preserve"> school, college graduate, university graduate.</w:t>
      </w:r>
      <w:r w:rsidR="00E229AA">
        <w:rPr>
          <w:lang w:val="en-US"/>
        </w:rPr>
        <w:t xml:space="preserve"> Other variables measured were farmers’</w:t>
      </w:r>
      <w:r w:rsidR="00F5212D">
        <w:rPr>
          <w:lang w:val="en-US"/>
        </w:rPr>
        <w:t xml:space="preserve"> experience in agriculture, </w:t>
      </w:r>
      <w:r w:rsidR="00E47BFF">
        <w:rPr>
          <w:lang w:val="en-US"/>
        </w:rPr>
        <w:t xml:space="preserve">the household income, </w:t>
      </w:r>
      <w:r w:rsidR="00913A5B">
        <w:rPr>
          <w:lang w:val="en-US"/>
        </w:rPr>
        <w:t>the application of a new method.</w:t>
      </w:r>
      <w:r w:rsidR="002B7EA9">
        <w:rPr>
          <w:lang w:val="en-US"/>
        </w:rPr>
        <w:t xml:space="preserve"> </w:t>
      </w:r>
      <w:r w:rsidR="00D37C84">
        <w:rPr>
          <w:lang w:val="en-US"/>
        </w:rPr>
        <w:t>According to the educational background, the result</w:t>
      </w:r>
      <w:r w:rsidR="00D81A28">
        <w:rPr>
          <w:lang w:val="en-US"/>
        </w:rPr>
        <w:t>s</w:t>
      </w:r>
      <w:r w:rsidR="00C170E1">
        <w:rPr>
          <w:lang w:val="en-US"/>
        </w:rPr>
        <w:t xml:space="preserve"> revealed that most farmers (48.67</w:t>
      </w:r>
      <w:r w:rsidR="00D37C84">
        <w:rPr>
          <w:lang w:val="en-US"/>
        </w:rPr>
        <w:t xml:space="preserve">%) had </w:t>
      </w:r>
      <w:r w:rsidR="00C170E1">
        <w:rPr>
          <w:lang w:val="en-US"/>
        </w:rPr>
        <w:t>secondary</w:t>
      </w:r>
      <w:r w:rsidR="00D37C84">
        <w:rPr>
          <w:lang w:val="en-US"/>
        </w:rPr>
        <w:t xml:space="preserve"> school education. This is an indication that since most farmers were literate, it was more likely to </w:t>
      </w:r>
      <w:r w:rsidR="00904276">
        <w:rPr>
          <w:lang w:val="en-US"/>
        </w:rPr>
        <w:t>have a higher receptiveness to new products.</w:t>
      </w:r>
      <w:r w:rsidR="002A5DEB">
        <w:rPr>
          <w:lang w:val="en-US"/>
        </w:rPr>
        <w:t xml:space="preserve"> </w:t>
      </w:r>
      <w:r w:rsidR="00D70724">
        <w:rPr>
          <w:lang w:val="en-US"/>
        </w:rPr>
        <w:t>The</w:t>
      </w:r>
      <w:r w:rsidR="000C5AD3">
        <w:rPr>
          <w:lang w:val="en-US"/>
        </w:rPr>
        <w:t xml:space="preserve"> vast majority of the sample (74.67</w:t>
      </w:r>
      <w:r w:rsidR="00D70724">
        <w:rPr>
          <w:lang w:val="en-US"/>
        </w:rPr>
        <w:t xml:space="preserve">%) stated that does not apply a </w:t>
      </w:r>
      <w:r w:rsidR="000C5AD3">
        <w:rPr>
          <w:lang w:val="en-US"/>
        </w:rPr>
        <w:t>‘’</w:t>
      </w:r>
      <w:r w:rsidR="00D70724">
        <w:rPr>
          <w:lang w:val="en-US"/>
        </w:rPr>
        <w:t>new method</w:t>
      </w:r>
      <w:r w:rsidR="000C5AD3">
        <w:rPr>
          <w:lang w:val="en-US"/>
        </w:rPr>
        <w:t>’’</w:t>
      </w:r>
      <w:r w:rsidR="00D70724">
        <w:rPr>
          <w:lang w:val="en-US"/>
        </w:rPr>
        <w:t xml:space="preserve"> in their cultivation technique</w:t>
      </w:r>
      <w:r w:rsidR="002A5DEB">
        <w:rPr>
          <w:lang w:val="en-US"/>
        </w:rPr>
        <w:t>. Furthermore</w:t>
      </w:r>
      <w:r w:rsidR="00554F9F">
        <w:rPr>
          <w:lang w:val="en-US"/>
        </w:rPr>
        <w:t xml:space="preserve">, </w:t>
      </w:r>
      <w:r w:rsidR="002A5DEB">
        <w:rPr>
          <w:lang w:val="en-US"/>
        </w:rPr>
        <w:t xml:space="preserve">57.33% claimed that faces salinity problems in his crops. </w:t>
      </w:r>
      <w:r w:rsidR="00554F9F">
        <w:rPr>
          <w:lang w:val="en-US"/>
        </w:rPr>
        <w:t xml:space="preserve">From those whose crops suffer from salinization about 72.58% have used a product to face this problem </w:t>
      </w:r>
      <w:r w:rsidR="00A8562C">
        <w:rPr>
          <w:lang w:val="en-US"/>
        </w:rPr>
        <w:t>and the majority was ‘’Little/Medium’’ satisfied from its effectiveness.</w:t>
      </w:r>
      <w:r w:rsidR="000C5AD3">
        <w:rPr>
          <w:lang w:val="en-US"/>
        </w:rPr>
        <w:t xml:space="preserve"> Finally, the 33.33% of the sample usually buys packages of liquid fertilizer with a capacity of more than 10 lt.</w:t>
      </w:r>
      <w:r w:rsidR="000C5AD3" w:rsidRPr="000C5AD3">
        <w:rPr>
          <w:lang w:val="en-US"/>
        </w:rPr>
        <w:t xml:space="preserve"> </w:t>
      </w:r>
      <w:r w:rsidR="000C5AD3">
        <w:rPr>
          <w:lang w:val="en-US"/>
        </w:rPr>
        <w:t>This implies that the producers</w:t>
      </w:r>
      <w:r w:rsidR="000C5AD3" w:rsidRPr="000C5AD3">
        <w:rPr>
          <w:lang w:val="en-US"/>
        </w:rPr>
        <w:t xml:space="preserve"> </w:t>
      </w:r>
      <w:r w:rsidR="000C5AD3">
        <w:rPr>
          <w:lang w:val="en-US"/>
        </w:rPr>
        <w:t xml:space="preserve">prefer mainly the larger packages. </w:t>
      </w:r>
    </w:p>
    <w:p w14:paraId="3DEEC669" w14:textId="77777777" w:rsidR="00856EB5" w:rsidRDefault="00856EB5" w:rsidP="00B242A7">
      <w:pPr>
        <w:spacing w:after="120"/>
        <w:jc w:val="both"/>
        <w:rPr>
          <w:lang w:val="en-US"/>
        </w:rPr>
      </w:pPr>
    </w:p>
    <w:p w14:paraId="23550E0A" w14:textId="77777777" w:rsidR="002576D7" w:rsidRPr="00B242A7" w:rsidRDefault="00E731F1" w:rsidP="00B242A7">
      <w:pPr>
        <w:spacing w:after="120"/>
        <w:jc w:val="both"/>
        <w:rPr>
          <w:b/>
          <w:lang w:val="en-US"/>
        </w:rPr>
      </w:pPr>
      <w:r w:rsidRPr="00141A57">
        <w:rPr>
          <w:lang w:val="en-US"/>
        </w:rPr>
        <w:t xml:space="preserve">Table </w:t>
      </w:r>
      <w:r w:rsidR="00B242A7">
        <w:rPr>
          <w:lang w:val="en-US"/>
        </w:rPr>
        <w:t>3</w:t>
      </w:r>
      <w:r w:rsidR="0030646C" w:rsidRPr="00141A57">
        <w:rPr>
          <w:lang w:val="en-US"/>
        </w:rPr>
        <w:t xml:space="preserve"> </w:t>
      </w:r>
      <w:r w:rsidR="0030646C">
        <w:rPr>
          <w:lang w:val="en-US"/>
        </w:rPr>
        <w:t>below</w:t>
      </w:r>
      <w:r w:rsidR="002B7EA9">
        <w:rPr>
          <w:lang w:val="en-US"/>
        </w:rPr>
        <w:t xml:space="preserve"> </w:t>
      </w:r>
      <w:r w:rsidRPr="00141A57">
        <w:rPr>
          <w:lang w:val="en-US"/>
        </w:rPr>
        <w:t xml:space="preserve">revealed that </w:t>
      </w:r>
      <w:r w:rsidR="002D4E81">
        <w:rPr>
          <w:lang w:val="en-US"/>
        </w:rPr>
        <w:t xml:space="preserve">33.33% </w:t>
      </w:r>
      <w:r w:rsidRPr="00141A57">
        <w:rPr>
          <w:lang w:val="en-US"/>
        </w:rPr>
        <w:t xml:space="preserve">of the farmers affirmed that </w:t>
      </w:r>
      <w:r w:rsidR="006B5FF9">
        <w:rPr>
          <w:lang w:val="en-US"/>
        </w:rPr>
        <w:t>‘’</w:t>
      </w:r>
      <w:r w:rsidRPr="00141A57">
        <w:rPr>
          <w:lang w:val="en-US"/>
        </w:rPr>
        <w:t>price</w:t>
      </w:r>
      <w:r w:rsidR="006B5FF9">
        <w:rPr>
          <w:lang w:val="en-US"/>
        </w:rPr>
        <w:t>’’</w:t>
      </w:r>
      <w:r w:rsidRPr="00141A57">
        <w:rPr>
          <w:lang w:val="en-US"/>
        </w:rPr>
        <w:t xml:space="preserve"> </w:t>
      </w:r>
      <w:r w:rsidR="00141A57" w:rsidRPr="00141A57">
        <w:rPr>
          <w:lang w:val="en-US"/>
        </w:rPr>
        <w:t>is ‘’</w:t>
      </w:r>
      <w:r w:rsidR="00450F00">
        <w:rPr>
          <w:lang w:val="en-US"/>
        </w:rPr>
        <w:t>V</w:t>
      </w:r>
      <w:r w:rsidR="00141A57" w:rsidRPr="00141A57">
        <w:rPr>
          <w:lang w:val="en-US"/>
        </w:rPr>
        <w:t xml:space="preserve">ery important’’ </w:t>
      </w:r>
      <w:r w:rsidR="00141A57">
        <w:rPr>
          <w:lang w:val="en-US"/>
        </w:rPr>
        <w:t>factor for their choice of fertilizer. This was followed by 68.67</w:t>
      </w:r>
      <w:r w:rsidR="002D4E81">
        <w:rPr>
          <w:lang w:val="en-US"/>
        </w:rPr>
        <w:t xml:space="preserve">% </w:t>
      </w:r>
      <w:r w:rsidR="00742C90">
        <w:rPr>
          <w:lang w:val="en-US"/>
        </w:rPr>
        <w:t xml:space="preserve">and 30.67% </w:t>
      </w:r>
      <w:r w:rsidR="00141A57">
        <w:rPr>
          <w:lang w:val="en-US"/>
        </w:rPr>
        <w:t xml:space="preserve">of the </w:t>
      </w:r>
      <w:r w:rsidR="00742C90">
        <w:rPr>
          <w:lang w:val="en-US"/>
        </w:rPr>
        <w:t>participants</w:t>
      </w:r>
      <w:r w:rsidR="00141A57">
        <w:rPr>
          <w:lang w:val="en-US"/>
        </w:rPr>
        <w:t xml:space="preserve"> who stated that the </w:t>
      </w:r>
      <w:r w:rsidR="006B5FF9">
        <w:rPr>
          <w:lang w:val="en-US"/>
        </w:rPr>
        <w:t>‘’</w:t>
      </w:r>
      <w:r w:rsidR="00141A57">
        <w:rPr>
          <w:lang w:val="en-US"/>
        </w:rPr>
        <w:t>quality-composition</w:t>
      </w:r>
      <w:r w:rsidR="006B5FF9">
        <w:rPr>
          <w:lang w:val="en-US"/>
        </w:rPr>
        <w:t>’’</w:t>
      </w:r>
      <w:r w:rsidR="00742C90">
        <w:rPr>
          <w:lang w:val="en-US"/>
        </w:rPr>
        <w:t xml:space="preserve"> and the existence of ‘’innovation-patent’’</w:t>
      </w:r>
      <w:r w:rsidR="00742C90" w:rsidRPr="00742C90">
        <w:rPr>
          <w:lang w:val="en-US"/>
        </w:rPr>
        <w:t xml:space="preserve">, </w:t>
      </w:r>
      <w:r w:rsidR="00742C90">
        <w:rPr>
          <w:lang w:val="en-US"/>
        </w:rPr>
        <w:t>respectively, are</w:t>
      </w:r>
      <w:r w:rsidR="00141A57">
        <w:rPr>
          <w:lang w:val="en-US"/>
        </w:rPr>
        <w:t xml:space="preserve"> ‘’</w:t>
      </w:r>
      <w:r w:rsidR="00450F00">
        <w:rPr>
          <w:lang w:val="en-US"/>
        </w:rPr>
        <w:t>V</w:t>
      </w:r>
      <w:r w:rsidR="00141A57">
        <w:rPr>
          <w:lang w:val="en-US"/>
        </w:rPr>
        <w:t>ery important’’ reason</w:t>
      </w:r>
      <w:r w:rsidR="00742C90">
        <w:rPr>
          <w:lang w:val="en-US"/>
        </w:rPr>
        <w:t>s</w:t>
      </w:r>
      <w:r w:rsidR="00141A57">
        <w:rPr>
          <w:lang w:val="en-US"/>
        </w:rPr>
        <w:t xml:space="preserve"> for choosing a fertilizer.</w:t>
      </w:r>
      <w:r w:rsidR="002D4E81">
        <w:rPr>
          <w:lang w:val="en-US"/>
        </w:rPr>
        <w:t xml:space="preserve"> </w:t>
      </w:r>
      <w:r w:rsidR="00450F00">
        <w:rPr>
          <w:lang w:val="en-US"/>
        </w:rPr>
        <w:t>It is worthwhile the fact that</w:t>
      </w:r>
      <w:r w:rsidR="002D4E81">
        <w:rPr>
          <w:lang w:val="en-US"/>
        </w:rPr>
        <w:t xml:space="preserve"> 37.33% </w:t>
      </w:r>
      <w:r w:rsidR="00450F00">
        <w:rPr>
          <w:lang w:val="en-US"/>
        </w:rPr>
        <w:t xml:space="preserve">of farmers </w:t>
      </w:r>
      <w:r w:rsidR="006B5FF9">
        <w:rPr>
          <w:lang w:val="en-US"/>
        </w:rPr>
        <w:t>claimed that ‘’packaging quality characteristics’’ is ‘’</w:t>
      </w:r>
      <w:r w:rsidR="00450F00">
        <w:rPr>
          <w:lang w:val="en-US"/>
        </w:rPr>
        <w:t>N</w:t>
      </w:r>
      <w:r w:rsidR="006B5FF9">
        <w:rPr>
          <w:lang w:val="en-US"/>
        </w:rPr>
        <w:t>ot important at all’’ reason for their choice of fertilizer.</w:t>
      </w:r>
      <w:r w:rsidR="005C1E2A">
        <w:rPr>
          <w:lang w:val="en-US"/>
        </w:rPr>
        <w:t xml:space="preserve"> </w:t>
      </w:r>
      <w:r w:rsidR="0077031B">
        <w:rPr>
          <w:lang w:val="en-US"/>
        </w:rPr>
        <w:t xml:space="preserve">Furthermore, 24% agreed that </w:t>
      </w:r>
      <w:r w:rsidR="00450F00">
        <w:rPr>
          <w:lang w:val="en-US"/>
        </w:rPr>
        <w:t>‘’brand name’’ is ‘’Important’’</w:t>
      </w:r>
      <w:r w:rsidR="00742C90">
        <w:rPr>
          <w:lang w:val="en-US"/>
        </w:rPr>
        <w:t xml:space="preserve"> </w:t>
      </w:r>
      <w:r w:rsidR="00450F00">
        <w:rPr>
          <w:lang w:val="en-US"/>
        </w:rPr>
        <w:t xml:space="preserve">for their decision to buy a fertilizer. </w:t>
      </w:r>
      <w:r w:rsidR="005C1E2A">
        <w:rPr>
          <w:lang w:val="en-US"/>
        </w:rPr>
        <w:t xml:space="preserve">Finally, the majority of the respondents (about </w:t>
      </w:r>
      <w:r w:rsidR="006A1B74">
        <w:rPr>
          <w:lang w:val="en-US"/>
        </w:rPr>
        <w:t>79.33%) said that ‘’rapid action’’ is ‘’Very important’’ factor behind their choice of fertilizer.</w:t>
      </w:r>
    </w:p>
    <w:p w14:paraId="3656B9AB" w14:textId="77777777" w:rsidR="007416FA" w:rsidRDefault="007416FA" w:rsidP="008676B2">
      <w:pPr>
        <w:spacing w:after="0"/>
        <w:jc w:val="center"/>
        <w:rPr>
          <w:lang w:val="en-US"/>
        </w:rPr>
      </w:pPr>
    </w:p>
    <w:p w14:paraId="3E167D0D" w14:textId="77777777" w:rsidR="008676B2" w:rsidRPr="008676B2" w:rsidRDefault="00B242A7" w:rsidP="00DC4DA9">
      <w:pPr>
        <w:spacing w:after="0"/>
        <w:outlineLvl w:val="0"/>
        <w:rPr>
          <w:lang w:val="en-US"/>
        </w:rPr>
      </w:pPr>
      <w:r>
        <w:rPr>
          <w:lang w:val="en-US"/>
        </w:rPr>
        <w:t>Table 3</w:t>
      </w:r>
      <w:r w:rsidR="008676B2">
        <w:rPr>
          <w:lang w:val="en-US"/>
        </w:rPr>
        <w:t xml:space="preserve">: Factors responsible for farmer’s </w:t>
      </w:r>
      <w:r w:rsidR="00141A57">
        <w:rPr>
          <w:lang w:val="en-US"/>
        </w:rPr>
        <w:t>choice</w:t>
      </w:r>
      <w:r w:rsidR="008676B2">
        <w:rPr>
          <w:lang w:val="en-US"/>
        </w:rPr>
        <w:t xml:space="preserve"> of fertilizer</w:t>
      </w:r>
    </w:p>
    <w:tbl>
      <w:tblPr>
        <w:tblStyle w:val="PlainTable2"/>
        <w:tblW w:w="9665" w:type="dxa"/>
        <w:tblInd w:w="-360" w:type="dxa"/>
        <w:tblLook w:val="04A0" w:firstRow="1" w:lastRow="0" w:firstColumn="1" w:lastColumn="0" w:noHBand="0" w:noVBand="1"/>
      </w:tblPr>
      <w:tblGrid>
        <w:gridCol w:w="2340"/>
        <w:gridCol w:w="1620"/>
        <w:gridCol w:w="1480"/>
        <w:gridCol w:w="1232"/>
        <w:gridCol w:w="1650"/>
        <w:gridCol w:w="1343"/>
      </w:tblGrid>
      <w:tr w:rsidR="00F552AE" w14:paraId="5B860BD7" w14:textId="77777777" w:rsidTr="00946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double" w:sz="4" w:space="0" w:color="000000"/>
              <w:bottom w:val="double" w:sz="4" w:space="0" w:color="auto"/>
            </w:tcBorders>
          </w:tcPr>
          <w:p w14:paraId="45FB0818" w14:textId="77777777" w:rsidR="00FC2D5D" w:rsidRDefault="00FC2D5D" w:rsidP="00FC2D5D">
            <w:pPr>
              <w:jc w:val="both"/>
              <w:rPr>
                <w:lang w:val="en-US"/>
              </w:rPr>
            </w:pPr>
          </w:p>
        </w:tc>
        <w:tc>
          <w:tcPr>
            <w:tcW w:w="1620" w:type="dxa"/>
            <w:tcBorders>
              <w:top w:val="double" w:sz="4" w:space="0" w:color="000000"/>
              <w:bottom w:val="double" w:sz="4" w:space="0" w:color="auto"/>
            </w:tcBorders>
          </w:tcPr>
          <w:p w14:paraId="15634BC4" w14:textId="77777777" w:rsidR="00FC2D5D" w:rsidRPr="00946733" w:rsidRDefault="00FC2D5D" w:rsidP="00FC2D5D">
            <w:pPr>
              <w:jc w:val="center"/>
              <w:cnfStyle w:val="100000000000" w:firstRow="1" w:lastRow="0" w:firstColumn="0" w:lastColumn="0" w:oddVBand="0" w:evenVBand="0" w:oddHBand="0" w:evenHBand="0" w:firstRowFirstColumn="0" w:firstRowLastColumn="0" w:lastRowFirstColumn="0" w:lastRowLastColumn="0"/>
              <w:rPr>
                <w:lang w:val="en-US"/>
              </w:rPr>
            </w:pPr>
            <w:r w:rsidRPr="00946733">
              <w:rPr>
                <w:lang w:val="en-US"/>
              </w:rPr>
              <w:t>Not important at all</w:t>
            </w:r>
          </w:p>
        </w:tc>
        <w:tc>
          <w:tcPr>
            <w:tcW w:w="1480" w:type="dxa"/>
            <w:tcBorders>
              <w:top w:val="double" w:sz="4" w:space="0" w:color="000000"/>
              <w:bottom w:val="double" w:sz="4" w:space="0" w:color="auto"/>
            </w:tcBorders>
          </w:tcPr>
          <w:p w14:paraId="049F31CB" w14:textId="77777777" w:rsidR="00FC2D5D" w:rsidRPr="00946733" w:rsidRDefault="00FC2D5D" w:rsidP="005D273A">
            <w:pPr>
              <w:jc w:val="center"/>
              <w:cnfStyle w:val="100000000000" w:firstRow="1" w:lastRow="0" w:firstColumn="0" w:lastColumn="0" w:oddVBand="0" w:evenVBand="0" w:oddHBand="0" w:evenHBand="0" w:firstRowFirstColumn="0" w:firstRowLastColumn="0" w:lastRowFirstColumn="0" w:lastRowLastColumn="0"/>
              <w:rPr>
                <w:lang w:val="en-US"/>
              </w:rPr>
            </w:pPr>
          </w:p>
        </w:tc>
        <w:tc>
          <w:tcPr>
            <w:tcW w:w="1232" w:type="dxa"/>
            <w:tcBorders>
              <w:top w:val="double" w:sz="4" w:space="0" w:color="000000"/>
              <w:bottom w:val="double" w:sz="4" w:space="0" w:color="auto"/>
            </w:tcBorders>
          </w:tcPr>
          <w:p w14:paraId="53128261" w14:textId="77777777" w:rsidR="00FC2D5D" w:rsidRPr="00946733" w:rsidRDefault="00FC2D5D" w:rsidP="005D273A">
            <w:pPr>
              <w:jc w:val="center"/>
              <w:cnfStyle w:val="100000000000" w:firstRow="1" w:lastRow="0" w:firstColumn="0" w:lastColumn="0" w:oddVBand="0" w:evenVBand="0" w:oddHBand="0" w:evenHBand="0" w:firstRowFirstColumn="0" w:firstRowLastColumn="0" w:lastRowFirstColumn="0" w:lastRowLastColumn="0"/>
              <w:rPr>
                <w:lang w:val="en-US"/>
              </w:rPr>
            </w:pPr>
          </w:p>
        </w:tc>
        <w:tc>
          <w:tcPr>
            <w:tcW w:w="1650" w:type="dxa"/>
            <w:tcBorders>
              <w:top w:val="double" w:sz="4" w:space="0" w:color="000000"/>
              <w:bottom w:val="double" w:sz="4" w:space="0" w:color="auto"/>
            </w:tcBorders>
          </w:tcPr>
          <w:p w14:paraId="62486C05" w14:textId="77777777" w:rsidR="00FC2D5D" w:rsidRPr="00946733" w:rsidRDefault="00FC2D5D" w:rsidP="005D273A">
            <w:pPr>
              <w:jc w:val="center"/>
              <w:cnfStyle w:val="100000000000" w:firstRow="1" w:lastRow="0" w:firstColumn="0" w:lastColumn="0" w:oddVBand="0" w:evenVBand="0" w:oddHBand="0" w:evenHBand="0" w:firstRowFirstColumn="0" w:firstRowLastColumn="0" w:lastRowFirstColumn="0" w:lastRowLastColumn="0"/>
              <w:rPr>
                <w:lang w:val="en-US"/>
              </w:rPr>
            </w:pPr>
          </w:p>
        </w:tc>
        <w:tc>
          <w:tcPr>
            <w:tcW w:w="1343" w:type="dxa"/>
            <w:tcBorders>
              <w:top w:val="double" w:sz="4" w:space="0" w:color="000000"/>
              <w:bottom w:val="double" w:sz="4" w:space="0" w:color="auto"/>
            </w:tcBorders>
          </w:tcPr>
          <w:p w14:paraId="1ED5FF9C" w14:textId="77777777" w:rsidR="00FC2D5D" w:rsidRPr="00946733" w:rsidRDefault="00FC2D5D" w:rsidP="005D273A">
            <w:pPr>
              <w:jc w:val="center"/>
              <w:cnfStyle w:val="100000000000" w:firstRow="1" w:lastRow="0" w:firstColumn="0" w:lastColumn="0" w:oddVBand="0" w:evenVBand="0" w:oddHBand="0" w:evenHBand="0" w:firstRowFirstColumn="0" w:firstRowLastColumn="0" w:lastRowFirstColumn="0" w:lastRowLastColumn="0"/>
              <w:rPr>
                <w:lang w:val="en-US"/>
              </w:rPr>
            </w:pPr>
            <w:r w:rsidRPr="00946733">
              <w:rPr>
                <w:lang w:val="en-US"/>
              </w:rPr>
              <w:t>Very important</w:t>
            </w:r>
          </w:p>
        </w:tc>
      </w:tr>
      <w:tr w:rsidR="00F552AE" w14:paraId="764C9988" w14:textId="77777777" w:rsidTr="0094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double" w:sz="4" w:space="0" w:color="auto"/>
            </w:tcBorders>
          </w:tcPr>
          <w:p w14:paraId="7BD80BA2" w14:textId="77777777" w:rsidR="00FC2D5D" w:rsidRDefault="00FC2D5D" w:rsidP="00FC2D5D">
            <w:pPr>
              <w:jc w:val="both"/>
              <w:rPr>
                <w:lang w:val="en-US"/>
              </w:rPr>
            </w:pPr>
            <w:r>
              <w:rPr>
                <w:lang w:val="en-US"/>
              </w:rPr>
              <w:t>Price</w:t>
            </w:r>
          </w:p>
        </w:tc>
        <w:tc>
          <w:tcPr>
            <w:tcW w:w="1620" w:type="dxa"/>
            <w:tcBorders>
              <w:top w:val="double" w:sz="4" w:space="0" w:color="auto"/>
            </w:tcBorders>
          </w:tcPr>
          <w:p w14:paraId="648743FE" w14:textId="77777777" w:rsidR="00FC2D5D" w:rsidRDefault="00F552AE" w:rsidP="00FC2D5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w:t>
            </w:r>
            <w:r w:rsidR="005D273A">
              <w:rPr>
                <w:lang w:val="en-US"/>
              </w:rPr>
              <w:t>5.33%</w:t>
            </w:r>
            <w:r>
              <w:rPr>
                <w:lang w:val="en-US"/>
              </w:rPr>
              <w:t>)</w:t>
            </w:r>
          </w:p>
        </w:tc>
        <w:tc>
          <w:tcPr>
            <w:tcW w:w="1480" w:type="dxa"/>
            <w:tcBorders>
              <w:top w:val="double" w:sz="4" w:space="0" w:color="auto"/>
            </w:tcBorders>
          </w:tcPr>
          <w:p w14:paraId="218E40E1" w14:textId="77777777" w:rsidR="00FC2D5D" w:rsidRDefault="00F552AE"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27(</w:t>
            </w:r>
            <w:r w:rsidR="005D273A">
              <w:rPr>
                <w:lang w:val="en-US"/>
              </w:rPr>
              <w:t>18.00%</w:t>
            </w:r>
            <w:r>
              <w:rPr>
                <w:lang w:val="en-US"/>
              </w:rPr>
              <w:t>)</w:t>
            </w:r>
          </w:p>
        </w:tc>
        <w:tc>
          <w:tcPr>
            <w:tcW w:w="1232" w:type="dxa"/>
            <w:tcBorders>
              <w:top w:val="double" w:sz="4" w:space="0" w:color="auto"/>
            </w:tcBorders>
          </w:tcPr>
          <w:p w14:paraId="7B6A591B" w14:textId="77777777" w:rsidR="00FC2D5D" w:rsidRDefault="00F552AE"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21(</w:t>
            </w:r>
            <w:r w:rsidR="005D273A">
              <w:rPr>
                <w:lang w:val="en-US"/>
              </w:rPr>
              <w:t>14.00%</w:t>
            </w:r>
            <w:r>
              <w:rPr>
                <w:lang w:val="en-US"/>
              </w:rPr>
              <w:t>)</w:t>
            </w:r>
          </w:p>
        </w:tc>
        <w:tc>
          <w:tcPr>
            <w:tcW w:w="1650" w:type="dxa"/>
            <w:tcBorders>
              <w:top w:val="double" w:sz="4" w:space="0" w:color="auto"/>
            </w:tcBorders>
          </w:tcPr>
          <w:p w14:paraId="5B0ACEE2" w14:textId="77777777" w:rsidR="00FC2D5D" w:rsidRDefault="00F552AE"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44(</w:t>
            </w:r>
            <w:r w:rsidR="005D273A">
              <w:rPr>
                <w:lang w:val="en-US"/>
              </w:rPr>
              <w:t>29.33%</w:t>
            </w:r>
            <w:r>
              <w:rPr>
                <w:lang w:val="en-US"/>
              </w:rPr>
              <w:t>)</w:t>
            </w:r>
          </w:p>
        </w:tc>
        <w:tc>
          <w:tcPr>
            <w:tcW w:w="1343" w:type="dxa"/>
            <w:tcBorders>
              <w:top w:val="double" w:sz="4" w:space="0" w:color="auto"/>
            </w:tcBorders>
          </w:tcPr>
          <w:p w14:paraId="6CC6A736" w14:textId="77777777" w:rsidR="00FC2D5D" w:rsidRDefault="00F552AE"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50(</w:t>
            </w:r>
            <w:r w:rsidR="005D273A">
              <w:rPr>
                <w:lang w:val="en-US"/>
              </w:rPr>
              <w:t>33.33%</w:t>
            </w:r>
            <w:r>
              <w:rPr>
                <w:lang w:val="en-US"/>
              </w:rPr>
              <w:t>)</w:t>
            </w:r>
          </w:p>
        </w:tc>
      </w:tr>
      <w:tr w:rsidR="00F552AE" w14:paraId="5CA68DDF" w14:textId="77777777" w:rsidTr="00946733">
        <w:tc>
          <w:tcPr>
            <w:cnfStyle w:val="001000000000" w:firstRow="0" w:lastRow="0" w:firstColumn="1" w:lastColumn="0" w:oddVBand="0" w:evenVBand="0" w:oddHBand="0" w:evenHBand="0" w:firstRowFirstColumn="0" w:firstRowLastColumn="0" w:lastRowFirstColumn="0" w:lastRowLastColumn="0"/>
            <w:tcW w:w="2340" w:type="dxa"/>
          </w:tcPr>
          <w:p w14:paraId="150F90E9" w14:textId="77777777" w:rsidR="00FC2D5D" w:rsidRDefault="00FC2D5D" w:rsidP="00FC2D5D">
            <w:pPr>
              <w:jc w:val="both"/>
              <w:rPr>
                <w:lang w:val="en-US"/>
              </w:rPr>
            </w:pPr>
            <w:r>
              <w:rPr>
                <w:lang w:val="en-US"/>
              </w:rPr>
              <w:t>Quality-composition</w:t>
            </w:r>
          </w:p>
        </w:tc>
        <w:tc>
          <w:tcPr>
            <w:tcW w:w="1620" w:type="dxa"/>
          </w:tcPr>
          <w:p w14:paraId="13756EEC" w14:textId="77777777" w:rsidR="00FC2D5D" w:rsidRDefault="00F552AE" w:rsidP="00FC2D5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w:t>
            </w:r>
            <w:r w:rsidR="005D273A">
              <w:rPr>
                <w:lang w:val="en-US"/>
              </w:rPr>
              <w:t>0.67%</w:t>
            </w:r>
            <w:r>
              <w:rPr>
                <w:lang w:val="en-US"/>
              </w:rPr>
              <w:t>)</w:t>
            </w:r>
          </w:p>
        </w:tc>
        <w:tc>
          <w:tcPr>
            <w:tcW w:w="1480" w:type="dxa"/>
          </w:tcPr>
          <w:p w14:paraId="1CEC89AE" w14:textId="77777777" w:rsidR="00FC2D5D" w:rsidRDefault="005D273A"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0.00%</w:t>
            </w:r>
          </w:p>
        </w:tc>
        <w:tc>
          <w:tcPr>
            <w:tcW w:w="1232" w:type="dxa"/>
          </w:tcPr>
          <w:p w14:paraId="4BC4BA92" w14:textId="77777777" w:rsidR="00FC2D5D" w:rsidRDefault="006F384F" w:rsidP="006F384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r w:rsidR="00F552AE">
              <w:rPr>
                <w:lang w:val="en-US"/>
              </w:rPr>
              <w:t>9(</w:t>
            </w:r>
            <w:r w:rsidR="005D273A">
              <w:rPr>
                <w:lang w:val="en-US"/>
              </w:rPr>
              <w:t>6.00%</w:t>
            </w:r>
            <w:r w:rsidR="00F552AE">
              <w:rPr>
                <w:lang w:val="en-US"/>
              </w:rPr>
              <w:t>)</w:t>
            </w:r>
          </w:p>
        </w:tc>
        <w:tc>
          <w:tcPr>
            <w:tcW w:w="1650" w:type="dxa"/>
          </w:tcPr>
          <w:p w14:paraId="4C8F4173" w14:textId="77777777" w:rsidR="00FC2D5D" w:rsidRDefault="00F552AE"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37(</w:t>
            </w:r>
            <w:r w:rsidR="005D273A">
              <w:rPr>
                <w:lang w:val="en-US"/>
              </w:rPr>
              <w:t>24.67%</w:t>
            </w:r>
            <w:r>
              <w:rPr>
                <w:lang w:val="en-US"/>
              </w:rPr>
              <w:t>)</w:t>
            </w:r>
          </w:p>
        </w:tc>
        <w:tc>
          <w:tcPr>
            <w:tcW w:w="1343" w:type="dxa"/>
          </w:tcPr>
          <w:p w14:paraId="535BF58A" w14:textId="77777777" w:rsidR="00FC2D5D" w:rsidRDefault="00F552AE"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103(</w:t>
            </w:r>
            <w:r w:rsidR="005D273A">
              <w:rPr>
                <w:lang w:val="en-US"/>
              </w:rPr>
              <w:t>68.67%</w:t>
            </w:r>
            <w:r>
              <w:rPr>
                <w:lang w:val="en-US"/>
              </w:rPr>
              <w:t>)</w:t>
            </w:r>
          </w:p>
        </w:tc>
      </w:tr>
      <w:tr w:rsidR="00F552AE" w14:paraId="0507B753" w14:textId="77777777" w:rsidTr="0094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53F5F91" w14:textId="77777777" w:rsidR="00FC2D5D" w:rsidRDefault="00FC2D5D" w:rsidP="005D273A">
            <w:pPr>
              <w:rPr>
                <w:lang w:val="en-US"/>
              </w:rPr>
            </w:pPr>
            <w:r>
              <w:rPr>
                <w:lang w:val="en-US"/>
              </w:rPr>
              <w:t>Packaging quality characteristics</w:t>
            </w:r>
          </w:p>
        </w:tc>
        <w:tc>
          <w:tcPr>
            <w:tcW w:w="1620" w:type="dxa"/>
          </w:tcPr>
          <w:p w14:paraId="5CF92DB0" w14:textId="77777777" w:rsidR="00FC2D5D" w:rsidRDefault="00F552AE" w:rsidP="00FC2D5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56(</w:t>
            </w:r>
            <w:r w:rsidR="005D273A">
              <w:rPr>
                <w:lang w:val="en-US"/>
              </w:rPr>
              <w:t>37.33%</w:t>
            </w:r>
            <w:r>
              <w:rPr>
                <w:lang w:val="en-US"/>
              </w:rPr>
              <w:t>)</w:t>
            </w:r>
          </w:p>
        </w:tc>
        <w:tc>
          <w:tcPr>
            <w:tcW w:w="1480" w:type="dxa"/>
          </w:tcPr>
          <w:p w14:paraId="1C2BFA11" w14:textId="77777777" w:rsidR="00FC2D5D" w:rsidRDefault="00F552AE"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37(</w:t>
            </w:r>
            <w:r w:rsidR="005D273A">
              <w:rPr>
                <w:lang w:val="en-US"/>
              </w:rPr>
              <w:t>24.67%</w:t>
            </w:r>
            <w:r>
              <w:rPr>
                <w:lang w:val="en-US"/>
              </w:rPr>
              <w:t>)</w:t>
            </w:r>
          </w:p>
        </w:tc>
        <w:tc>
          <w:tcPr>
            <w:tcW w:w="1232" w:type="dxa"/>
          </w:tcPr>
          <w:p w14:paraId="1B0D1D93" w14:textId="77777777" w:rsidR="00FC2D5D" w:rsidRDefault="00F552AE"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30(</w:t>
            </w:r>
            <w:r w:rsidR="005D273A">
              <w:rPr>
                <w:lang w:val="en-US"/>
              </w:rPr>
              <w:t>20.00%</w:t>
            </w:r>
            <w:r>
              <w:rPr>
                <w:lang w:val="en-US"/>
              </w:rPr>
              <w:t>)</w:t>
            </w:r>
          </w:p>
        </w:tc>
        <w:tc>
          <w:tcPr>
            <w:tcW w:w="1650" w:type="dxa"/>
          </w:tcPr>
          <w:p w14:paraId="21CACF24" w14:textId="77777777" w:rsidR="00FC2D5D" w:rsidRDefault="00717497" w:rsidP="00717497">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00F552AE">
              <w:rPr>
                <w:lang w:val="en-US"/>
              </w:rPr>
              <w:t>13(</w:t>
            </w:r>
            <w:r w:rsidR="005D273A">
              <w:rPr>
                <w:lang w:val="en-US"/>
              </w:rPr>
              <w:t>8.67%</w:t>
            </w:r>
            <w:r w:rsidR="00F552AE">
              <w:rPr>
                <w:lang w:val="en-US"/>
              </w:rPr>
              <w:t>)</w:t>
            </w:r>
          </w:p>
        </w:tc>
        <w:tc>
          <w:tcPr>
            <w:tcW w:w="1343" w:type="dxa"/>
          </w:tcPr>
          <w:p w14:paraId="5807AF8E" w14:textId="77777777" w:rsidR="00FC2D5D" w:rsidRDefault="00717497" w:rsidP="00717497">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sidR="00F552AE">
              <w:rPr>
                <w:lang w:val="en-US"/>
              </w:rPr>
              <w:t>14(</w:t>
            </w:r>
            <w:r w:rsidR="005D273A">
              <w:rPr>
                <w:lang w:val="en-US"/>
              </w:rPr>
              <w:t>9.33%</w:t>
            </w:r>
            <w:r w:rsidR="00F552AE">
              <w:rPr>
                <w:lang w:val="en-US"/>
              </w:rPr>
              <w:t>)</w:t>
            </w:r>
          </w:p>
        </w:tc>
      </w:tr>
      <w:tr w:rsidR="00F552AE" w14:paraId="77AEAC67" w14:textId="77777777" w:rsidTr="00946733">
        <w:tc>
          <w:tcPr>
            <w:cnfStyle w:val="001000000000" w:firstRow="0" w:lastRow="0" w:firstColumn="1" w:lastColumn="0" w:oddVBand="0" w:evenVBand="0" w:oddHBand="0" w:evenHBand="0" w:firstRowFirstColumn="0" w:firstRowLastColumn="0" w:lastRowFirstColumn="0" w:lastRowLastColumn="0"/>
            <w:tcW w:w="2340" w:type="dxa"/>
          </w:tcPr>
          <w:p w14:paraId="075D858C" w14:textId="77777777" w:rsidR="00FC2D5D" w:rsidRDefault="00FC2D5D" w:rsidP="00FC2D5D">
            <w:pPr>
              <w:jc w:val="both"/>
              <w:rPr>
                <w:lang w:val="en-US"/>
              </w:rPr>
            </w:pPr>
            <w:r>
              <w:rPr>
                <w:lang w:val="en-US"/>
              </w:rPr>
              <w:t>Brand name</w:t>
            </w:r>
          </w:p>
        </w:tc>
        <w:tc>
          <w:tcPr>
            <w:tcW w:w="1620" w:type="dxa"/>
          </w:tcPr>
          <w:p w14:paraId="57B74890" w14:textId="77777777" w:rsidR="00FC2D5D" w:rsidRDefault="006A0F6B" w:rsidP="00FC2D5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31(</w:t>
            </w:r>
            <w:r w:rsidR="005D273A">
              <w:rPr>
                <w:lang w:val="en-US"/>
              </w:rPr>
              <w:t>20.67%</w:t>
            </w:r>
            <w:r>
              <w:rPr>
                <w:lang w:val="en-US"/>
              </w:rPr>
              <w:t>)</w:t>
            </w:r>
          </w:p>
        </w:tc>
        <w:tc>
          <w:tcPr>
            <w:tcW w:w="1480" w:type="dxa"/>
          </w:tcPr>
          <w:p w14:paraId="5C8D3346"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w:t>
            </w:r>
            <w:r w:rsidR="005D273A">
              <w:rPr>
                <w:lang w:val="en-US"/>
              </w:rPr>
              <w:t>13.33%</w:t>
            </w:r>
            <w:r>
              <w:rPr>
                <w:lang w:val="en-US"/>
              </w:rPr>
              <w:t>)</w:t>
            </w:r>
          </w:p>
        </w:tc>
        <w:tc>
          <w:tcPr>
            <w:tcW w:w="1232" w:type="dxa"/>
          </w:tcPr>
          <w:p w14:paraId="4C66312E"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36(</w:t>
            </w:r>
            <w:r w:rsidR="005D273A">
              <w:rPr>
                <w:lang w:val="en-US"/>
              </w:rPr>
              <w:t>24.00%</w:t>
            </w:r>
            <w:r>
              <w:rPr>
                <w:lang w:val="en-US"/>
              </w:rPr>
              <w:t>)</w:t>
            </w:r>
          </w:p>
        </w:tc>
        <w:tc>
          <w:tcPr>
            <w:tcW w:w="1650" w:type="dxa"/>
          </w:tcPr>
          <w:p w14:paraId="331702DC"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28(</w:t>
            </w:r>
            <w:r w:rsidR="005D273A">
              <w:rPr>
                <w:lang w:val="en-US"/>
              </w:rPr>
              <w:t>18.67%</w:t>
            </w:r>
            <w:r>
              <w:rPr>
                <w:lang w:val="en-US"/>
              </w:rPr>
              <w:t>)</w:t>
            </w:r>
          </w:p>
        </w:tc>
        <w:tc>
          <w:tcPr>
            <w:tcW w:w="1343" w:type="dxa"/>
          </w:tcPr>
          <w:p w14:paraId="44B60546"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35(</w:t>
            </w:r>
            <w:r w:rsidR="005D273A">
              <w:rPr>
                <w:lang w:val="en-US"/>
              </w:rPr>
              <w:t>23.33%</w:t>
            </w:r>
            <w:r>
              <w:rPr>
                <w:lang w:val="en-US"/>
              </w:rPr>
              <w:t>)</w:t>
            </w:r>
          </w:p>
        </w:tc>
      </w:tr>
      <w:tr w:rsidR="00F552AE" w14:paraId="07F50D5A" w14:textId="77777777" w:rsidTr="0094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2578E64" w14:textId="77777777" w:rsidR="00FC2D5D" w:rsidRDefault="00FC2D5D" w:rsidP="00FC2D5D">
            <w:pPr>
              <w:jc w:val="both"/>
              <w:rPr>
                <w:lang w:val="en-US"/>
              </w:rPr>
            </w:pPr>
            <w:r>
              <w:rPr>
                <w:lang w:val="en-US"/>
              </w:rPr>
              <w:t>Ease of application</w:t>
            </w:r>
          </w:p>
        </w:tc>
        <w:tc>
          <w:tcPr>
            <w:tcW w:w="1620" w:type="dxa"/>
          </w:tcPr>
          <w:p w14:paraId="1A81B7C8" w14:textId="77777777" w:rsidR="00FC2D5D" w:rsidRDefault="006A0F6B" w:rsidP="00FC2D5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w:t>
            </w:r>
            <w:r w:rsidR="005D273A">
              <w:rPr>
                <w:lang w:val="en-US"/>
              </w:rPr>
              <w:t>11.33%</w:t>
            </w:r>
            <w:r>
              <w:rPr>
                <w:lang w:val="en-US"/>
              </w:rPr>
              <w:t>)</w:t>
            </w:r>
          </w:p>
        </w:tc>
        <w:tc>
          <w:tcPr>
            <w:tcW w:w="1480" w:type="dxa"/>
          </w:tcPr>
          <w:p w14:paraId="5F67B23E"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26(</w:t>
            </w:r>
            <w:r w:rsidR="005D273A">
              <w:rPr>
                <w:lang w:val="en-US"/>
              </w:rPr>
              <w:t>17.33%</w:t>
            </w:r>
            <w:r>
              <w:rPr>
                <w:lang w:val="en-US"/>
              </w:rPr>
              <w:t>)</w:t>
            </w:r>
          </w:p>
        </w:tc>
        <w:tc>
          <w:tcPr>
            <w:tcW w:w="1232" w:type="dxa"/>
          </w:tcPr>
          <w:p w14:paraId="0D72991A"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33(</w:t>
            </w:r>
            <w:r w:rsidR="005D273A">
              <w:rPr>
                <w:lang w:val="en-US"/>
              </w:rPr>
              <w:t>22.00%</w:t>
            </w:r>
            <w:r>
              <w:rPr>
                <w:lang w:val="en-US"/>
              </w:rPr>
              <w:t>)</w:t>
            </w:r>
          </w:p>
        </w:tc>
        <w:tc>
          <w:tcPr>
            <w:tcW w:w="1650" w:type="dxa"/>
          </w:tcPr>
          <w:p w14:paraId="7BF3F53F"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36(</w:t>
            </w:r>
            <w:r w:rsidR="005D273A">
              <w:rPr>
                <w:lang w:val="en-US"/>
              </w:rPr>
              <w:t>24.00%</w:t>
            </w:r>
            <w:r>
              <w:rPr>
                <w:lang w:val="en-US"/>
              </w:rPr>
              <w:t>)</w:t>
            </w:r>
          </w:p>
        </w:tc>
        <w:tc>
          <w:tcPr>
            <w:tcW w:w="1343" w:type="dxa"/>
          </w:tcPr>
          <w:p w14:paraId="10BA66E3"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38(</w:t>
            </w:r>
            <w:r w:rsidR="005D273A">
              <w:rPr>
                <w:lang w:val="en-US"/>
              </w:rPr>
              <w:t>25.33%</w:t>
            </w:r>
            <w:r>
              <w:rPr>
                <w:lang w:val="en-US"/>
              </w:rPr>
              <w:t>)</w:t>
            </w:r>
          </w:p>
        </w:tc>
      </w:tr>
      <w:tr w:rsidR="00F552AE" w14:paraId="7D53669C" w14:textId="77777777" w:rsidTr="00946733">
        <w:tc>
          <w:tcPr>
            <w:cnfStyle w:val="001000000000" w:firstRow="0" w:lastRow="0" w:firstColumn="1" w:lastColumn="0" w:oddVBand="0" w:evenVBand="0" w:oddHBand="0" w:evenHBand="0" w:firstRowFirstColumn="0" w:firstRowLastColumn="0" w:lastRowFirstColumn="0" w:lastRowLastColumn="0"/>
            <w:tcW w:w="2340" w:type="dxa"/>
          </w:tcPr>
          <w:p w14:paraId="732B1040" w14:textId="77777777" w:rsidR="00FC2D5D" w:rsidRDefault="00FC2D5D" w:rsidP="00FC2D5D">
            <w:pPr>
              <w:jc w:val="both"/>
              <w:rPr>
                <w:lang w:val="en-US"/>
              </w:rPr>
            </w:pPr>
            <w:r>
              <w:rPr>
                <w:lang w:val="en-US"/>
              </w:rPr>
              <w:t>Rapid action</w:t>
            </w:r>
          </w:p>
        </w:tc>
        <w:tc>
          <w:tcPr>
            <w:tcW w:w="1620" w:type="dxa"/>
          </w:tcPr>
          <w:p w14:paraId="15F136FE" w14:textId="77777777" w:rsidR="00FC2D5D" w:rsidRDefault="005D273A" w:rsidP="00FC2D5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0.00%</w:t>
            </w:r>
          </w:p>
        </w:tc>
        <w:tc>
          <w:tcPr>
            <w:tcW w:w="1480" w:type="dxa"/>
          </w:tcPr>
          <w:p w14:paraId="303529E9" w14:textId="77777777" w:rsidR="00FC2D5D" w:rsidRDefault="005D273A"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0.00%</w:t>
            </w:r>
          </w:p>
        </w:tc>
        <w:tc>
          <w:tcPr>
            <w:tcW w:w="1232" w:type="dxa"/>
          </w:tcPr>
          <w:p w14:paraId="17460E24"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r w:rsidR="005D273A">
              <w:rPr>
                <w:lang w:val="en-US"/>
              </w:rPr>
              <w:t>1.33%</w:t>
            </w:r>
            <w:r>
              <w:rPr>
                <w:lang w:val="en-US"/>
              </w:rPr>
              <w:t>)</w:t>
            </w:r>
          </w:p>
        </w:tc>
        <w:tc>
          <w:tcPr>
            <w:tcW w:w="1650" w:type="dxa"/>
          </w:tcPr>
          <w:p w14:paraId="690CC0AD"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29(</w:t>
            </w:r>
            <w:r w:rsidR="005D273A">
              <w:rPr>
                <w:lang w:val="en-US"/>
              </w:rPr>
              <w:t>19.33%</w:t>
            </w:r>
            <w:r>
              <w:rPr>
                <w:lang w:val="en-US"/>
              </w:rPr>
              <w:t>)</w:t>
            </w:r>
          </w:p>
        </w:tc>
        <w:tc>
          <w:tcPr>
            <w:tcW w:w="1343" w:type="dxa"/>
          </w:tcPr>
          <w:p w14:paraId="3967340A" w14:textId="77777777" w:rsidR="00FC2D5D" w:rsidRDefault="006A0F6B" w:rsidP="005D273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119(</w:t>
            </w:r>
            <w:r w:rsidR="005D273A">
              <w:rPr>
                <w:lang w:val="en-US"/>
              </w:rPr>
              <w:t>79.33%</w:t>
            </w:r>
            <w:r>
              <w:rPr>
                <w:lang w:val="en-US"/>
              </w:rPr>
              <w:t>)</w:t>
            </w:r>
          </w:p>
        </w:tc>
      </w:tr>
      <w:tr w:rsidR="00F552AE" w14:paraId="5EECB2F9" w14:textId="77777777" w:rsidTr="0094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double" w:sz="4" w:space="0" w:color="000000"/>
            </w:tcBorders>
          </w:tcPr>
          <w:p w14:paraId="4AAF4B37" w14:textId="77777777" w:rsidR="00FC2D5D" w:rsidRDefault="00FC2D5D" w:rsidP="00FC2D5D">
            <w:pPr>
              <w:jc w:val="both"/>
              <w:rPr>
                <w:lang w:val="en-US"/>
              </w:rPr>
            </w:pPr>
            <w:r>
              <w:rPr>
                <w:lang w:val="en-US"/>
              </w:rPr>
              <w:t>Innovation-Patent</w:t>
            </w:r>
          </w:p>
        </w:tc>
        <w:tc>
          <w:tcPr>
            <w:tcW w:w="1620" w:type="dxa"/>
            <w:tcBorders>
              <w:bottom w:val="double" w:sz="4" w:space="0" w:color="000000"/>
            </w:tcBorders>
          </w:tcPr>
          <w:p w14:paraId="12B4E8A7" w14:textId="77777777" w:rsidR="00FC2D5D" w:rsidRDefault="006A0F6B" w:rsidP="00FC2D5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18(</w:t>
            </w:r>
            <w:r w:rsidR="005D273A">
              <w:rPr>
                <w:lang w:val="en-US"/>
              </w:rPr>
              <w:t>12%</w:t>
            </w:r>
            <w:r>
              <w:rPr>
                <w:lang w:val="en-US"/>
              </w:rPr>
              <w:t>)</w:t>
            </w:r>
          </w:p>
        </w:tc>
        <w:tc>
          <w:tcPr>
            <w:tcW w:w="1480" w:type="dxa"/>
            <w:tcBorders>
              <w:bottom w:val="double" w:sz="4" w:space="0" w:color="000000"/>
            </w:tcBorders>
          </w:tcPr>
          <w:p w14:paraId="1E85CD17"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17(</w:t>
            </w:r>
            <w:r w:rsidR="005D273A">
              <w:rPr>
                <w:lang w:val="en-US"/>
              </w:rPr>
              <w:t>11.33%</w:t>
            </w:r>
            <w:r>
              <w:rPr>
                <w:lang w:val="en-US"/>
              </w:rPr>
              <w:t>)</w:t>
            </w:r>
          </w:p>
        </w:tc>
        <w:tc>
          <w:tcPr>
            <w:tcW w:w="1232" w:type="dxa"/>
            <w:tcBorders>
              <w:bottom w:val="double" w:sz="4" w:space="0" w:color="000000"/>
            </w:tcBorders>
          </w:tcPr>
          <w:p w14:paraId="019BED6F"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26(</w:t>
            </w:r>
            <w:r w:rsidR="005D273A">
              <w:rPr>
                <w:lang w:val="en-US"/>
              </w:rPr>
              <w:t>17.33%</w:t>
            </w:r>
            <w:r>
              <w:rPr>
                <w:lang w:val="en-US"/>
              </w:rPr>
              <w:t>)</w:t>
            </w:r>
          </w:p>
        </w:tc>
        <w:tc>
          <w:tcPr>
            <w:tcW w:w="1650" w:type="dxa"/>
            <w:tcBorders>
              <w:bottom w:val="double" w:sz="4" w:space="0" w:color="000000"/>
            </w:tcBorders>
          </w:tcPr>
          <w:p w14:paraId="3A982452"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43(</w:t>
            </w:r>
            <w:r w:rsidR="005D273A">
              <w:rPr>
                <w:lang w:val="en-US"/>
              </w:rPr>
              <w:t>28.67%</w:t>
            </w:r>
            <w:r>
              <w:rPr>
                <w:lang w:val="en-US"/>
              </w:rPr>
              <w:t>)</w:t>
            </w:r>
          </w:p>
        </w:tc>
        <w:tc>
          <w:tcPr>
            <w:tcW w:w="1343" w:type="dxa"/>
            <w:tcBorders>
              <w:bottom w:val="double" w:sz="4" w:space="0" w:color="000000"/>
            </w:tcBorders>
          </w:tcPr>
          <w:p w14:paraId="36EB0782" w14:textId="77777777" w:rsidR="00FC2D5D" w:rsidRDefault="006A0F6B" w:rsidP="005D273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46(</w:t>
            </w:r>
            <w:r w:rsidR="005D273A">
              <w:rPr>
                <w:lang w:val="en-US"/>
              </w:rPr>
              <w:t>30.67%</w:t>
            </w:r>
            <w:r>
              <w:rPr>
                <w:lang w:val="en-US"/>
              </w:rPr>
              <w:t>)</w:t>
            </w:r>
          </w:p>
        </w:tc>
      </w:tr>
    </w:tbl>
    <w:p w14:paraId="43D97157" w14:textId="77777777" w:rsidR="00F05A0B" w:rsidRPr="004A2882" w:rsidRDefault="0013392C" w:rsidP="00001F11">
      <w:pPr>
        <w:jc w:val="center"/>
        <w:rPr>
          <w:sz w:val="16"/>
          <w:szCs w:val="16"/>
          <w:lang w:val="en-US"/>
        </w:rPr>
      </w:pPr>
      <w:r w:rsidRPr="004A2882">
        <w:rPr>
          <w:sz w:val="16"/>
          <w:szCs w:val="16"/>
          <w:lang w:val="en-US"/>
        </w:rPr>
        <w:t xml:space="preserve">Note: </w:t>
      </w:r>
      <w:r w:rsidR="006A0F6B" w:rsidRPr="004A2882">
        <w:rPr>
          <w:sz w:val="16"/>
          <w:szCs w:val="16"/>
          <w:lang w:val="en-US"/>
        </w:rPr>
        <w:t>Figures in brackets represent percentages, while others are frequencies</w:t>
      </w:r>
    </w:p>
    <w:p w14:paraId="4101652C" w14:textId="77777777" w:rsidR="00B242A7" w:rsidRDefault="00B242A7" w:rsidP="00322533">
      <w:pPr>
        <w:jc w:val="both"/>
        <w:rPr>
          <w:lang w:val="en-US"/>
        </w:rPr>
      </w:pPr>
    </w:p>
    <w:p w14:paraId="6181A812" w14:textId="77777777" w:rsidR="0067044E" w:rsidRDefault="00B728A9" w:rsidP="00322533">
      <w:pPr>
        <w:jc w:val="both"/>
        <w:rPr>
          <w:lang w:val="en-US"/>
        </w:rPr>
      </w:pPr>
      <w:r>
        <w:rPr>
          <w:lang w:val="en-US"/>
        </w:rPr>
        <w:t xml:space="preserve">Concerning the farmers’ WTP </w:t>
      </w:r>
      <w:r w:rsidR="00932982">
        <w:rPr>
          <w:lang w:val="en-US"/>
        </w:rPr>
        <w:t>for the package of 1lt (Figure 1</w:t>
      </w:r>
      <w:r>
        <w:rPr>
          <w:lang w:val="en-US"/>
        </w:rPr>
        <w:t>), it seems that as the proposed bids increase the percentage of farmers WTP for the good is reduced. Also, WTP based on IV method is lower than CV method.</w:t>
      </w:r>
      <w:r w:rsidR="00FD6201" w:rsidRPr="00FD6201">
        <w:rPr>
          <w:lang w:val="en-US"/>
        </w:rPr>
        <w:t xml:space="preserve"> </w:t>
      </w:r>
      <w:r w:rsidR="00FD6201">
        <w:rPr>
          <w:lang w:val="en-US"/>
        </w:rPr>
        <w:t xml:space="preserve">The same trend is observed for the 5lt package. </w:t>
      </w:r>
    </w:p>
    <w:p w14:paraId="31ED4CC0" w14:textId="77777777" w:rsidR="002941F6" w:rsidRDefault="0067044E" w:rsidP="00322533">
      <w:pPr>
        <w:jc w:val="both"/>
        <w:rPr>
          <w:lang w:val="en-US"/>
        </w:rPr>
      </w:pPr>
      <w:r>
        <w:rPr>
          <w:lang w:val="en-US"/>
        </w:rPr>
        <w:lastRenderedPageBreak/>
        <w:t>According to CV method, the vast majority of the sample (86.7%) is willing to pay the amount of 12 €</w:t>
      </w:r>
      <w:r w:rsidR="00D62416">
        <w:rPr>
          <w:lang w:val="en-US"/>
        </w:rPr>
        <w:t xml:space="preserve"> for the 1lt package and about 73.3% is willing to pay 10 € for the 5lt package with the IV method. </w:t>
      </w:r>
    </w:p>
    <w:p w14:paraId="74369FB9" w14:textId="77777777" w:rsidR="00D62416" w:rsidRDefault="009F7A99" w:rsidP="00322533">
      <w:pPr>
        <w:jc w:val="both"/>
        <w:rPr>
          <w:lang w:val="en-US"/>
        </w:rPr>
      </w:pPr>
      <w:r>
        <w:rPr>
          <w:lang w:val="en-US"/>
        </w:rPr>
        <w:t>As we can see from the Figure 1</w:t>
      </w:r>
      <w:r w:rsidR="00D62416">
        <w:rPr>
          <w:lang w:val="en-US"/>
        </w:rPr>
        <w:t xml:space="preserve"> about 93.3% of the farmers would offer the amount of 37 € for the 5lt package and finally with the IV method </w:t>
      </w:r>
      <w:r w:rsidR="00F95EBC">
        <w:rPr>
          <w:lang w:val="en-US"/>
        </w:rPr>
        <w:t>the majority of the respondents would also pay 37 € for the 5lt package.</w:t>
      </w:r>
    </w:p>
    <w:p w14:paraId="4B99056E" w14:textId="77777777" w:rsidR="00BD077D" w:rsidRDefault="00BD077D" w:rsidP="00322533">
      <w:pPr>
        <w:jc w:val="both"/>
        <w:rPr>
          <w:lang w:val="en-US"/>
        </w:rPr>
      </w:pPr>
    </w:p>
    <w:p w14:paraId="1299C43A" w14:textId="77777777" w:rsidR="00BD077D" w:rsidRDefault="00BD077D" w:rsidP="001E7620">
      <w:pPr>
        <w:jc w:val="center"/>
        <w:rPr>
          <w:lang w:val="en-US"/>
        </w:rPr>
      </w:pPr>
      <w:r>
        <w:rPr>
          <w:noProof/>
          <w:lang w:eastAsia="el-GR"/>
        </w:rPr>
        <w:drawing>
          <wp:inline distT="0" distB="0" distL="0" distR="0" wp14:anchorId="336348E4" wp14:editId="1A23383A">
            <wp:extent cx="2249805" cy="2293375"/>
            <wp:effectExtent l="0" t="0" r="0" b="0"/>
            <wp:docPr id="5" name="Picture 5" descr="https://scontent.fbud2-1.fna.fbcdn.net/v/t34.0-12/29003559_906104642901477_1275416615_n.png?oh=0cdd5b2d98d51bf2bd2e89b68f02269f&amp;oe=5AAD4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bud2-1.fna.fbcdn.net/v/t34.0-12/29003559_906104642901477_1275416615_n.png?oh=0cdd5b2d98d51bf2bd2e89b68f02269f&amp;oe=5AAD4B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950" cy="2331239"/>
                    </a:xfrm>
                    <a:prstGeom prst="rect">
                      <a:avLst/>
                    </a:prstGeom>
                    <a:noFill/>
                    <a:ln>
                      <a:noFill/>
                    </a:ln>
                  </pic:spPr>
                </pic:pic>
              </a:graphicData>
            </a:graphic>
          </wp:inline>
        </w:drawing>
      </w:r>
      <w:r w:rsidR="001E7620">
        <w:rPr>
          <w:noProof/>
          <w:lang w:eastAsia="el-GR"/>
        </w:rPr>
        <w:drawing>
          <wp:inline distT="0" distB="0" distL="0" distR="0" wp14:anchorId="75F95EAE" wp14:editId="24CBC6AC">
            <wp:extent cx="2267585" cy="2285410"/>
            <wp:effectExtent l="0" t="0" r="0" b="635"/>
            <wp:docPr id="6" name="Picture 6" descr="https://scontent.fbud2-1.fna.fbcdn.net/v/t34.0-12/28906611_906106839567924_1948820596_n.png?oh=af43b14c89f355469930ac6e84855ad0&amp;oe=5AAE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bud2-1.fna.fbcdn.net/v/t34.0-12/28906611_906106839567924_1948820596_n.png?oh=af43b14c89f355469930ac6e84855ad0&amp;oe=5AAE4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9980" cy="2328138"/>
                    </a:xfrm>
                    <a:prstGeom prst="rect">
                      <a:avLst/>
                    </a:prstGeom>
                    <a:noFill/>
                    <a:ln>
                      <a:noFill/>
                    </a:ln>
                  </pic:spPr>
                </pic:pic>
              </a:graphicData>
            </a:graphic>
          </wp:inline>
        </w:drawing>
      </w:r>
    </w:p>
    <w:p w14:paraId="5E84ED32" w14:textId="77777777" w:rsidR="00DF4815" w:rsidRDefault="00932982" w:rsidP="00DC4DA9">
      <w:pPr>
        <w:jc w:val="center"/>
        <w:outlineLvl w:val="0"/>
        <w:rPr>
          <w:lang w:val="en-US"/>
        </w:rPr>
      </w:pPr>
      <w:r>
        <w:rPr>
          <w:lang w:val="en-US"/>
        </w:rPr>
        <w:t>Figure 1</w:t>
      </w:r>
      <w:r w:rsidR="001E7620">
        <w:rPr>
          <w:lang w:val="en-US"/>
        </w:rPr>
        <w:t xml:space="preserve">: </w:t>
      </w:r>
      <w:r w:rsidRPr="00B01A78">
        <w:rPr>
          <w:sz w:val="20"/>
          <w:szCs w:val="20"/>
          <w:lang w:val="en-US"/>
        </w:rPr>
        <w:t xml:space="preserve">% of </w:t>
      </w:r>
      <w:r w:rsidR="001E7620" w:rsidRPr="00B01A78">
        <w:rPr>
          <w:sz w:val="20"/>
          <w:szCs w:val="20"/>
          <w:lang w:val="en-US"/>
        </w:rPr>
        <w:t>WTP for the 1lt package (left) and 5lt package (right) with CV and IV methods</w:t>
      </w:r>
    </w:p>
    <w:p w14:paraId="044C775E" w14:textId="77777777" w:rsidR="00B93BFA" w:rsidRDefault="00316B16" w:rsidP="002046EB">
      <w:pPr>
        <w:jc w:val="both"/>
        <w:rPr>
          <w:lang w:val="en-US"/>
        </w:rPr>
      </w:pPr>
      <w:r>
        <w:rPr>
          <w:lang w:val="en-US"/>
        </w:rPr>
        <w:t xml:space="preserve">Explanatory variables considered in the econometric model </w:t>
      </w:r>
      <w:r w:rsidR="00063CA5">
        <w:rPr>
          <w:lang w:val="en-US"/>
        </w:rPr>
        <w:t>are defined in Table 4</w:t>
      </w:r>
      <w:r w:rsidR="00325B90" w:rsidRPr="00325B90">
        <w:rPr>
          <w:lang w:val="en-US"/>
        </w:rPr>
        <w:t xml:space="preserve"> (</w:t>
      </w:r>
      <w:r w:rsidR="00325B90">
        <w:rPr>
          <w:lang w:val="en-US"/>
        </w:rPr>
        <w:t>APPENDIX A)</w:t>
      </w:r>
      <w:r w:rsidR="00DF4837">
        <w:rPr>
          <w:lang w:val="en-US"/>
        </w:rPr>
        <w:t>. Observations with missing variables were left out from the econometric analysis. Accordingly, the sample for the WTP</w:t>
      </w:r>
      <w:r w:rsidR="00B93BFA">
        <w:rPr>
          <w:lang w:val="en-US"/>
        </w:rPr>
        <w:t xml:space="preserve"> model consists in 145 subjects.</w:t>
      </w:r>
    </w:p>
    <w:p w14:paraId="549C5254" w14:textId="77777777" w:rsidR="0081751C" w:rsidRDefault="0081751C" w:rsidP="002046EB">
      <w:pPr>
        <w:jc w:val="both"/>
        <w:rPr>
          <w:lang w:val="en-US"/>
        </w:rPr>
      </w:pPr>
    </w:p>
    <w:p w14:paraId="21865072" w14:textId="7A3E2AF9" w:rsidR="00EE3CBF" w:rsidRDefault="00364836" w:rsidP="00DC4DA9">
      <w:pPr>
        <w:jc w:val="both"/>
        <w:outlineLvl w:val="0"/>
        <w:rPr>
          <w:b/>
          <w:lang w:val="en-US"/>
        </w:rPr>
      </w:pPr>
      <w:r w:rsidRPr="00364836">
        <w:rPr>
          <w:b/>
          <w:lang w:val="en-US"/>
        </w:rPr>
        <w:t xml:space="preserve">7. </w:t>
      </w:r>
      <w:r w:rsidR="0081751C">
        <w:rPr>
          <w:b/>
          <w:lang w:val="en-US"/>
        </w:rPr>
        <w:t>Empirical Results</w:t>
      </w:r>
    </w:p>
    <w:p w14:paraId="0735F213" w14:textId="77777777" w:rsidR="00D41EA5" w:rsidRDefault="00D41EA5" w:rsidP="00B93BFA">
      <w:pPr>
        <w:spacing w:after="0"/>
        <w:jc w:val="both"/>
        <w:rPr>
          <w:lang w:val="en-US"/>
        </w:rPr>
      </w:pPr>
      <w:r w:rsidRPr="00D41EA5">
        <w:rPr>
          <w:lang w:val="en-US"/>
        </w:rPr>
        <w:t xml:space="preserve">For the </w:t>
      </w:r>
      <w:r>
        <w:rPr>
          <w:lang w:val="en-US"/>
        </w:rPr>
        <w:t>econometric valuation, the Interval Regression Model was used. As a dependent variable we define the interval or declared WTP, as derived from the single binary method. According to the above, the econometric model takes the following form:</w:t>
      </w:r>
    </w:p>
    <w:p w14:paraId="4DDBEF00" w14:textId="77777777" w:rsidR="00D41EA5" w:rsidRDefault="00D41EA5" w:rsidP="00B93BFA">
      <w:pPr>
        <w:spacing w:after="0"/>
        <w:jc w:val="both"/>
        <w:rPr>
          <w:lang w:val="en-US"/>
        </w:rPr>
      </w:pPr>
    </w:p>
    <w:p w14:paraId="28CDEFDF" w14:textId="77777777" w:rsidR="00D41EA5" w:rsidRPr="00D41EA5" w:rsidRDefault="00D41EA5" w:rsidP="00D41EA5">
      <w:pPr>
        <w:spacing w:after="0"/>
        <w:jc w:val="both"/>
        <w:rPr>
          <w:i/>
          <w:lang w:val="en-US"/>
        </w:rPr>
      </w:pPr>
      <w:r w:rsidRPr="00D41EA5">
        <w:rPr>
          <w:b/>
          <w:lang w:val="en-US"/>
        </w:rPr>
        <w:t>WTP</w:t>
      </w:r>
      <w:r w:rsidRPr="00D41EA5">
        <w:rPr>
          <w:lang w:val="en-US"/>
        </w:rPr>
        <w:t xml:space="preserve"> = </w:t>
      </w:r>
      <w:r w:rsidRPr="00D41EA5">
        <w:rPr>
          <w:i/>
          <w:lang w:val="en-US"/>
        </w:rPr>
        <w:t>b</w:t>
      </w:r>
      <w:r w:rsidRPr="00D41EA5">
        <w:rPr>
          <w:i/>
          <w:vertAlign w:val="subscript"/>
          <w:lang w:val="en-US"/>
        </w:rPr>
        <w:t xml:space="preserve">0 </w:t>
      </w:r>
      <w:r w:rsidRPr="00D41EA5">
        <w:rPr>
          <w:i/>
          <w:lang w:val="en-US"/>
        </w:rPr>
        <w:t>+ b</w:t>
      </w:r>
      <w:r w:rsidRPr="00D41EA5">
        <w:rPr>
          <w:i/>
          <w:vertAlign w:val="subscript"/>
          <w:lang w:val="en-US"/>
        </w:rPr>
        <w:t>1</w:t>
      </w:r>
      <w:r w:rsidRPr="00D41EA5">
        <w:rPr>
          <w:i/>
          <w:lang w:val="en-US"/>
        </w:rPr>
        <w:t>CVIV</w:t>
      </w:r>
      <w:r w:rsidRPr="00D41EA5">
        <w:rPr>
          <w:i/>
          <w:vertAlign w:val="subscript"/>
          <w:lang w:val="en-US"/>
        </w:rPr>
        <w:t>2</w:t>
      </w:r>
      <w:r w:rsidRPr="00D41EA5">
        <w:rPr>
          <w:i/>
          <w:lang w:val="en-US"/>
        </w:rPr>
        <w:t xml:space="preserve"> + b</w:t>
      </w:r>
      <w:r w:rsidRPr="00D41EA5">
        <w:rPr>
          <w:i/>
          <w:vertAlign w:val="subscript"/>
          <w:lang w:val="en-US"/>
        </w:rPr>
        <w:t>2</w:t>
      </w:r>
      <w:r w:rsidRPr="00D41EA5">
        <w:rPr>
          <w:i/>
          <w:lang w:val="en-US"/>
        </w:rPr>
        <w:t>order + b</w:t>
      </w:r>
      <w:r w:rsidRPr="00D41EA5">
        <w:rPr>
          <w:i/>
          <w:vertAlign w:val="subscript"/>
          <w:lang w:val="en-US"/>
        </w:rPr>
        <w:t>3</w:t>
      </w:r>
      <w:r w:rsidRPr="00D41EA5">
        <w:rPr>
          <w:i/>
          <w:lang w:val="en-US"/>
        </w:rPr>
        <w:t>conseq</w:t>
      </w:r>
      <w:r w:rsidRPr="00D41EA5">
        <w:rPr>
          <w:i/>
          <w:vertAlign w:val="subscript"/>
          <w:lang w:val="en-US"/>
        </w:rPr>
        <w:t>3</w:t>
      </w:r>
      <w:r w:rsidRPr="00D41EA5">
        <w:rPr>
          <w:i/>
          <w:lang w:val="en-US"/>
        </w:rPr>
        <w:t xml:space="preserve"> +b</w:t>
      </w:r>
      <w:r w:rsidRPr="00D41EA5">
        <w:rPr>
          <w:i/>
          <w:vertAlign w:val="subscript"/>
          <w:lang w:val="en-US"/>
        </w:rPr>
        <w:t>4</w:t>
      </w:r>
      <w:r w:rsidRPr="00D41EA5">
        <w:rPr>
          <w:i/>
          <w:lang w:val="en-US"/>
        </w:rPr>
        <w:t>conseq</w:t>
      </w:r>
      <w:r w:rsidRPr="00D41EA5">
        <w:rPr>
          <w:i/>
          <w:vertAlign w:val="subscript"/>
          <w:lang w:val="en-US"/>
        </w:rPr>
        <w:t>4</w:t>
      </w:r>
      <w:r w:rsidRPr="00D41EA5">
        <w:rPr>
          <w:i/>
          <w:lang w:val="en-US"/>
        </w:rPr>
        <w:t xml:space="preserve"> + b</w:t>
      </w:r>
      <w:r w:rsidRPr="00D41EA5">
        <w:rPr>
          <w:i/>
          <w:vertAlign w:val="subscript"/>
          <w:lang w:val="en-US"/>
        </w:rPr>
        <w:t>5</w:t>
      </w:r>
      <w:r w:rsidRPr="00D41EA5">
        <w:rPr>
          <w:i/>
          <w:lang w:val="en-US"/>
        </w:rPr>
        <w:t>hbias</w:t>
      </w:r>
      <w:r w:rsidRPr="00D41EA5">
        <w:rPr>
          <w:i/>
          <w:vertAlign w:val="subscript"/>
          <w:lang w:val="en-US"/>
        </w:rPr>
        <w:t>2</w:t>
      </w:r>
      <w:r w:rsidRPr="00D41EA5">
        <w:rPr>
          <w:i/>
          <w:lang w:val="en-US"/>
        </w:rPr>
        <w:t xml:space="preserve"> + b</w:t>
      </w:r>
      <w:r w:rsidRPr="00D41EA5">
        <w:rPr>
          <w:i/>
          <w:vertAlign w:val="subscript"/>
          <w:lang w:val="en-US"/>
        </w:rPr>
        <w:t>6</w:t>
      </w:r>
      <w:r w:rsidRPr="00D41EA5">
        <w:rPr>
          <w:i/>
          <w:lang w:val="en-US"/>
        </w:rPr>
        <w:t>hbias</w:t>
      </w:r>
      <w:r w:rsidRPr="00D41EA5">
        <w:rPr>
          <w:i/>
          <w:vertAlign w:val="subscript"/>
          <w:lang w:val="en-US"/>
        </w:rPr>
        <w:t>3</w:t>
      </w:r>
      <w:r w:rsidRPr="00D41EA5">
        <w:rPr>
          <w:i/>
          <w:lang w:val="en-US"/>
        </w:rPr>
        <w:t xml:space="preserve"> + b</w:t>
      </w:r>
      <w:r w:rsidRPr="00D41EA5">
        <w:rPr>
          <w:i/>
          <w:vertAlign w:val="subscript"/>
          <w:lang w:val="en-US"/>
        </w:rPr>
        <w:t>7</w:t>
      </w:r>
      <w:r w:rsidRPr="00D41EA5">
        <w:rPr>
          <w:i/>
          <w:lang w:val="en-US"/>
        </w:rPr>
        <w:t>hbiasot</w:t>
      </w:r>
      <w:r w:rsidRPr="00D41EA5">
        <w:rPr>
          <w:i/>
          <w:vertAlign w:val="subscript"/>
          <w:lang w:val="en-US"/>
        </w:rPr>
        <w:t>3</w:t>
      </w:r>
      <w:r w:rsidRPr="00D41EA5">
        <w:rPr>
          <w:i/>
          <w:lang w:val="en-US"/>
        </w:rPr>
        <w:t xml:space="preserve"> + b</w:t>
      </w:r>
      <w:r w:rsidRPr="00D41EA5">
        <w:rPr>
          <w:i/>
          <w:vertAlign w:val="subscript"/>
          <w:lang w:val="en-US"/>
        </w:rPr>
        <w:t>8</w:t>
      </w:r>
      <w:r w:rsidRPr="00D41EA5">
        <w:rPr>
          <w:i/>
          <w:lang w:val="en-US"/>
        </w:rPr>
        <w:t>hbiasot</w:t>
      </w:r>
      <w:r w:rsidRPr="00D41EA5">
        <w:rPr>
          <w:i/>
          <w:vertAlign w:val="subscript"/>
          <w:lang w:val="en-US"/>
        </w:rPr>
        <w:t>4</w:t>
      </w:r>
      <w:r w:rsidRPr="00D41EA5">
        <w:rPr>
          <w:i/>
          <w:lang w:val="en-US"/>
        </w:rPr>
        <w:t xml:space="preserve"> + b</w:t>
      </w:r>
      <w:r w:rsidRPr="00D41EA5">
        <w:rPr>
          <w:i/>
          <w:vertAlign w:val="subscript"/>
          <w:lang w:val="en-US"/>
        </w:rPr>
        <w:t>9</w:t>
      </w:r>
      <w:r w:rsidRPr="00D41EA5">
        <w:rPr>
          <w:i/>
          <w:lang w:val="en-US"/>
        </w:rPr>
        <w:t>sunesp + b</w:t>
      </w:r>
      <w:r w:rsidRPr="00D41EA5">
        <w:rPr>
          <w:i/>
          <w:vertAlign w:val="subscript"/>
          <w:lang w:val="en-US"/>
        </w:rPr>
        <w:t>10</w:t>
      </w:r>
      <w:r w:rsidRPr="00D41EA5">
        <w:rPr>
          <w:i/>
          <w:lang w:val="en-US"/>
        </w:rPr>
        <w:t>sunpur +b</w:t>
      </w:r>
      <w:r w:rsidRPr="00D41EA5">
        <w:rPr>
          <w:i/>
          <w:vertAlign w:val="subscript"/>
          <w:lang w:val="en-US"/>
        </w:rPr>
        <w:t>11</w:t>
      </w:r>
      <w:r w:rsidRPr="00D41EA5">
        <w:rPr>
          <w:i/>
          <w:lang w:val="en-US"/>
        </w:rPr>
        <w:t>kt + b</w:t>
      </w:r>
      <w:r w:rsidRPr="00D41EA5">
        <w:rPr>
          <w:i/>
          <w:vertAlign w:val="subscript"/>
          <w:lang w:val="en-US"/>
        </w:rPr>
        <w:t>12</w:t>
      </w:r>
      <w:r w:rsidRPr="00D41EA5">
        <w:rPr>
          <w:i/>
          <w:lang w:val="en-US"/>
        </w:rPr>
        <w:t>ku + b</w:t>
      </w:r>
      <w:r w:rsidRPr="00D41EA5">
        <w:rPr>
          <w:i/>
          <w:vertAlign w:val="subscript"/>
          <w:lang w:val="en-US"/>
        </w:rPr>
        <w:t>13</w:t>
      </w:r>
      <w:r w:rsidRPr="00D41EA5">
        <w:rPr>
          <w:i/>
          <w:lang w:val="en-US"/>
        </w:rPr>
        <w:t>sunloi + b</w:t>
      </w:r>
      <w:r w:rsidRPr="00D41EA5">
        <w:rPr>
          <w:i/>
          <w:vertAlign w:val="subscript"/>
          <w:lang w:val="en-US"/>
        </w:rPr>
        <w:t>14</w:t>
      </w:r>
      <w:r w:rsidRPr="00D41EA5">
        <w:rPr>
          <w:i/>
          <w:lang w:val="en-US"/>
        </w:rPr>
        <w:t>sunel + b</w:t>
      </w:r>
      <w:r w:rsidRPr="00D41EA5">
        <w:rPr>
          <w:i/>
          <w:vertAlign w:val="subscript"/>
          <w:lang w:val="en-US"/>
        </w:rPr>
        <w:t>15</w:t>
      </w:r>
      <w:r w:rsidRPr="00D41EA5">
        <w:rPr>
          <w:i/>
          <w:lang w:val="en-US"/>
        </w:rPr>
        <w:t>know_new</w:t>
      </w:r>
      <w:r w:rsidRPr="00D41EA5">
        <w:rPr>
          <w:i/>
          <w:vertAlign w:val="subscript"/>
          <w:lang w:val="en-US"/>
        </w:rPr>
        <w:t>3</w:t>
      </w:r>
      <w:r w:rsidRPr="00D41EA5">
        <w:rPr>
          <w:i/>
          <w:lang w:val="en-US"/>
        </w:rPr>
        <w:t xml:space="preserve"> + b</w:t>
      </w:r>
      <w:r w:rsidRPr="00D41EA5">
        <w:rPr>
          <w:i/>
          <w:vertAlign w:val="subscript"/>
          <w:lang w:val="en-US"/>
        </w:rPr>
        <w:t>16</w:t>
      </w:r>
      <w:r w:rsidRPr="00D41EA5">
        <w:rPr>
          <w:i/>
          <w:lang w:val="en-US"/>
        </w:rPr>
        <w:t>know_new</w:t>
      </w:r>
      <w:r w:rsidRPr="00D41EA5">
        <w:rPr>
          <w:i/>
          <w:vertAlign w:val="subscript"/>
          <w:lang w:val="en-US"/>
        </w:rPr>
        <w:t>4</w:t>
      </w:r>
      <w:r w:rsidRPr="00D41EA5">
        <w:rPr>
          <w:i/>
          <w:lang w:val="en-US"/>
        </w:rPr>
        <w:t xml:space="preserve"> + b</w:t>
      </w:r>
      <w:r w:rsidRPr="00D41EA5">
        <w:rPr>
          <w:i/>
          <w:vertAlign w:val="subscript"/>
          <w:lang w:val="en-US"/>
        </w:rPr>
        <w:t>17</w:t>
      </w:r>
      <w:r w:rsidRPr="00D41EA5">
        <w:rPr>
          <w:i/>
          <w:lang w:val="en-US"/>
        </w:rPr>
        <w:t>know_new</w:t>
      </w:r>
      <w:r w:rsidRPr="00D41EA5">
        <w:rPr>
          <w:i/>
          <w:vertAlign w:val="subscript"/>
          <w:lang w:val="en-US"/>
        </w:rPr>
        <w:t>5</w:t>
      </w:r>
      <w:r w:rsidRPr="00D41EA5">
        <w:rPr>
          <w:i/>
          <w:lang w:val="en-US"/>
        </w:rPr>
        <w:t xml:space="preserve"> + b</w:t>
      </w:r>
      <w:r w:rsidRPr="00D41EA5">
        <w:rPr>
          <w:i/>
          <w:vertAlign w:val="subscript"/>
          <w:lang w:val="en-US"/>
        </w:rPr>
        <w:t>18</w:t>
      </w:r>
      <w:r w:rsidRPr="00D41EA5">
        <w:rPr>
          <w:i/>
          <w:lang w:val="en-US"/>
        </w:rPr>
        <w:t>age</w:t>
      </w:r>
      <w:r w:rsidRPr="00D41EA5">
        <w:rPr>
          <w:i/>
          <w:vertAlign w:val="subscript"/>
          <w:lang w:val="en-US"/>
        </w:rPr>
        <w:t>2</w:t>
      </w:r>
      <w:r w:rsidRPr="00D41EA5">
        <w:rPr>
          <w:i/>
          <w:lang w:val="en-US"/>
        </w:rPr>
        <w:t xml:space="preserve"> + b</w:t>
      </w:r>
      <w:r w:rsidRPr="00D41EA5">
        <w:rPr>
          <w:i/>
          <w:vertAlign w:val="subscript"/>
          <w:lang w:val="en-US"/>
        </w:rPr>
        <w:t>19</w:t>
      </w:r>
      <w:r w:rsidRPr="00D41EA5">
        <w:rPr>
          <w:i/>
          <w:lang w:val="en-US"/>
        </w:rPr>
        <w:t>age</w:t>
      </w:r>
      <w:r w:rsidRPr="00D41EA5">
        <w:rPr>
          <w:i/>
          <w:vertAlign w:val="subscript"/>
          <w:lang w:val="en-US"/>
        </w:rPr>
        <w:t>3</w:t>
      </w:r>
      <w:r w:rsidRPr="00D41EA5">
        <w:rPr>
          <w:i/>
          <w:lang w:val="en-US"/>
        </w:rPr>
        <w:t xml:space="preserve"> + b</w:t>
      </w:r>
      <w:r w:rsidRPr="00D41EA5">
        <w:rPr>
          <w:i/>
          <w:vertAlign w:val="subscript"/>
          <w:lang w:val="en-US"/>
        </w:rPr>
        <w:t>20</w:t>
      </w:r>
      <w:r w:rsidRPr="00D41EA5">
        <w:rPr>
          <w:i/>
          <w:lang w:val="en-US"/>
        </w:rPr>
        <w:t>years + b</w:t>
      </w:r>
      <w:r w:rsidRPr="00D41EA5">
        <w:rPr>
          <w:i/>
          <w:vertAlign w:val="subscript"/>
          <w:lang w:val="en-US"/>
        </w:rPr>
        <w:t>21</w:t>
      </w:r>
      <w:r w:rsidRPr="00D41EA5">
        <w:rPr>
          <w:i/>
          <w:lang w:val="en-US"/>
        </w:rPr>
        <w:t>edu</w:t>
      </w:r>
      <w:r w:rsidRPr="00D41EA5">
        <w:rPr>
          <w:i/>
          <w:vertAlign w:val="subscript"/>
          <w:lang w:val="en-US"/>
        </w:rPr>
        <w:t>2</w:t>
      </w:r>
      <w:r w:rsidRPr="00D41EA5">
        <w:rPr>
          <w:i/>
          <w:lang w:val="en-US"/>
        </w:rPr>
        <w:t xml:space="preserve"> + b</w:t>
      </w:r>
      <w:r w:rsidRPr="00D41EA5">
        <w:rPr>
          <w:i/>
          <w:vertAlign w:val="subscript"/>
          <w:lang w:val="en-US"/>
        </w:rPr>
        <w:t>22</w:t>
      </w:r>
      <w:r w:rsidRPr="00D41EA5">
        <w:rPr>
          <w:i/>
          <w:lang w:val="en-US"/>
        </w:rPr>
        <w:t>edu</w:t>
      </w:r>
      <w:r w:rsidRPr="00D41EA5">
        <w:rPr>
          <w:i/>
          <w:vertAlign w:val="subscript"/>
          <w:lang w:val="en-US"/>
        </w:rPr>
        <w:t>3</w:t>
      </w:r>
      <w:r w:rsidRPr="00D41EA5">
        <w:rPr>
          <w:i/>
          <w:lang w:val="en-US"/>
        </w:rPr>
        <w:t xml:space="preserve"> + b</w:t>
      </w:r>
      <w:r w:rsidRPr="00D41EA5">
        <w:rPr>
          <w:i/>
          <w:vertAlign w:val="subscript"/>
          <w:lang w:val="en-US"/>
        </w:rPr>
        <w:t>23</w:t>
      </w:r>
      <w:r w:rsidRPr="00D41EA5">
        <w:rPr>
          <w:i/>
          <w:lang w:val="en-US"/>
        </w:rPr>
        <w:t>edu</w:t>
      </w:r>
      <w:r w:rsidRPr="00D41EA5">
        <w:rPr>
          <w:i/>
          <w:vertAlign w:val="subscript"/>
          <w:lang w:val="en-US"/>
        </w:rPr>
        <w:t>4</w:t>
      </w:r>
      <w:r w:rsidRPr="00D41EA5">
        <w:rPr>
          <w:i/>
          <w:lang w:val="en-US"/>
        </w:rPr>
        <w:t xml:space="preserve"> + b</w:t>
      </w:r>
      <w:r w:rsidRPr="00D41EA5">
        <w:rPr>
          <w:i/>
          <w:vertAlign w:val="subscript"/>
          <w:lang w:val="en-US"/>
        </w:rPr>
        <w:t>24</w:t>
      </w:r>
      <w:r w:rsidRPr="00D41EA5">
        <w:rPr>
          <w:i/>
          <w:lang w:val="en-US"/>
        </w:rPr>
        <w:t>income</w:t>
      </w:r>
      <w:r w:rsidRPr="00D41EA5">
        <w:rPr>
          <w:i/>
          <w:vertAlign w:val="subscript"/>
          <w:lang w:val="en-US"/>
        </w:rPr>
        <w:t>4</w:t>
      </w:r>
      <w:r w:rsidRPr="00D41EA5">
        <w:rPr>
          <w:i/>
          <w:lang w:val="en-US"/>
        </w:rPr>
        <w:t xml:space="preserve"> + b</w:t>
      </w:r>
      <w:r w:rsidRPr="00D41EA5">
        <w:rPr>
          <w:i/>
          <w:vertAlign w:val="subscript"/>
          <w:lang w:val="en-US"/>
        </w:rPr>
        <w:t>25</w:t>
      </w:r>
      <w:r w:rsidRPr="00D41EA5">
        <w:rPr>
          <w:i/>
          <w:lang w:val="en-US"/>
        </w:rPr>
        <w:t>income</w:t>
      </w:r>
      <w:r w:rsidRPr="00D41EA5">
        <w:rPr>
          <w:i/>
          <w:vertAlign w:val="subscript"/>
          <w:lang w:val="en-US"/>
        </w:rPr>
        <w:t>5</w:t>
      </w:r>
      <w:r w:rsidRPr="00D41EA5">
        <w:rPr>
          <w:i/>
          <w:lang w:val="en-US"/>
        </w:rPr>
        <w:t xml:space="preserve"> + b</w:t>
      </w:r>
      <w:r w:rsidRPr="00D41EA5">
        <w:rPr>
          <w:i/>
          <w:vertAlign w:val="subscript"/>
          <w:lang w:val="en-US"/>
        </w:rPr>
        <w:t>26</w:t>
      </w:r>
      <w:r w:rsidRPr="00D41EA5">
        <w:rPr>
          <w:i/>
          <w:lang w:val="en-US"/>
        </w:rPr>
        <w:t>income</w:t>
      </w:r>
      <w:r w:rsidRPr="00D41EA5">
        <w:rPr>
          <w:i/>
          <w:vertAlign w:val="subscript"/>
          <w:lang w:val="en-US"/>
        </w:rPr>
        <w:t>6</w:t>
      </w:r>
      <w:r w:rsidRPr="00D41EA5">
        <w:rPr>
          <w:i/>
          <w:lang w:val="en-US"/>
        </w:rPr>
        <w:t xml:space="preserve"> + b</w:t>
      </w:r>
      <w:r w:rsidRPr="00D41EA5">
        <w:rPr>
          <w:i/>
          <w:vertAlign w:val="subscript"/>
          <w:lang w:val="en-US"/>
        </w:rPr>
        <w:t>27</w:t>
      </w:r>
      <w:r w:rsidRPr="00D41EA5">
        <w:rPr>
          <w:i/>
          <w:lang w:val="en-US"/>
        </w:rPr>
        <w:t>susk</w:t>
      </w:r>
      <w:r w:rsidRPr="00D41EA5">
        <w:rPr>
          <w:i/>
          <w:vertAlign w:val="subscript"/>
          <w:lang w:val="en-US"/>
        </w:rPr>
        <w:t>3</w:t>
      </w:r>
      <w:r w:rsidRPr="00D41EA5">
        <w:rPr>
          <w:i/>
          <w:lang w:val="en-US"/>
        </w:rPr>
        <w:t xml:space="preserve"> + b</w:t>
      </w:r>
      <w:r w:rsidRPr="00D41EA5">
        <w:rPr>
          <w:i/>
          <w:vertAlign w:val="subscript"/>
          <w:lang w:val="en-US"/>
        </w:rPr>
        <w:t>28</w:t>
      </w:r>
      <w:r w:rsidRPr="00D41EA5">
        <w:rPr>
          <w:i/>
          <w:lang w:val="en-US"/>
        </w:rPr>
        <w:t>susk</w:t>
      </w:r>
      <w:r w:rsidRPr="00D41EA5">
        <w:rPr>
          <w:i/>
          <w:vertAlign w:val="subscript"/>
          <w:lang w:val="en-US"/>
        </w:rPr>
        <w:t>4</w:t>
      </w:r>
      <w:r w:rsidRPr="00D41EA5">
        <w:rPr>
          <w:i/>
          <w:lang w:val="en-US"/>
        </w:rPr>
        <w:t xml:space="preserve"> + b</w:t>
      </w:r>
      <w:r w:rsidRPr="00D41EA5">
        <w:rPr>
          <w:i/>
          <w:vertAlign w:val="subscript"/>
          <w:lang w:val="en-US"/>
        </w:rPr>
        <w:t>29</w:t>
      </w:r>
      <w:r w:rsidRPr="00D41EA5">
        <w:rPr>
          <w:i/>
          <w:lang w:val="en-US"/>
        </w:rPr>
        <w:t>susk</w:t>
      </w:r>
      <w:r w:rsidRPr="00D41EA5">
        <w:rPr>
          <w:i/>
          <w:vertAlign w:val="subscript"/>
          <w:lang w:val="en-US"/>
        </w:rPr>
        <w:t>5</w:t>
      </w:r>
      <w:r w:rsidRPr="00D41EA5">
        <w:rPr>
          <w:i/>
          <w:lang w:val="en-US"/>
        </w:rPr>
        <w:t xml:space="preserve"> +b</w:t>
      </w:r>
      <w:r w:rsidRPr="00D41EA5">
        <w:rPr>
          <w:i/>
          <w:vertAlign w:val="subscript"/>
          <w:lang w:val="en-US"/>
        </w:rPr>
        <w:t>30</w:t>
      </w:r>
      <w:r w:rsidRPr="00D41EA5">
        <w:rPr>
          <w:i/>
          <w:lang w:val="en-US"/>
        </w:rPr>
        <w:t>susk</w:t>
      </w:r>
      <w:r w:rsidRPr="00D41EA5">
        <w:rPr>
          <w:i/>
          <w:vertAlign w:val="subscript"/>
          <w:lang w:val="en-US"/>
        </w:rPr>
        <w:t>6</w:t>
      </w:r>
      <w:r w:rsidRPr="00D41EA5">
        <w:rPr>
          <w:i/>
          <w:lang w:val="en-US"/>
        </w:rPr>
        <w:t xml:space="preserve"> + b</w:t>
      </w:r>
      <w:r w:rsidRPr="00D41EA5">
        <w:rPr>
          <w:i/>
          <w:vertAlign w:val="subscript"/>
          <w:lang w:val="en-US"/>
        </w:rPr>
        <w:t>31</w:t>
      </w:r>
      <w:r w:rsidRPr="00D41EA5">
        <w:rPr>
          <w:i/>
          <w:lang w:val="en-US"/>
        </w:rPr>
        <w:t>innov + b</w:t>
      </w:r>
      <w:r w:rsidRPr="00D41EA5">
        <w:rPr>
          <w:i/>
          <w:vertAlign w:val="subscript"/>
          <w:lang w:val="en-US"/>
        </w:rPr>
        <w:t>32</w:t>
      </w:r>
      <w:r w:rsidRPr="00D41EA5">
        <w:rPr>
          <w:i/>
          <w:lang w:val="en-US"/>
        </w:rPr>
        <w:t>salpr</w:t>
      </w:r>
      <w:r w:rsidRPr="00D41EA5">
        <w:rPr>
          <w:i/>
          <w:vertAlign w:val="subscript"/>
          <w:lang w:val="en-US"/>
        </w:rPr>
        <w:t>2</w:t>
      </w:r>
      <w:r w:rsidRPr="00D41EA5">
        <w:rPr>
          <w:i/>
          <w:lang w:val="en-US"/>
        </w:rPr>
        <w:t xml:space="preserve"> + b</w:t>
      </w:r>
      <w:r w:rsidRPr="00D41EA5">
        <w:rPr>
          <w:i/>
          <w:vertAlign w:val="subscript"/>
          <w:lang w:val="en-US"/>
        </w:rPr>
        <w:t>33</w:t>
      </w:r>
      <w:r w:rsidRPr="00D41EA5">
        <w:rPr>
          <w:i/>
          <w:lang w:val="en-US"/>
        </w:rPr>
        <w:t>salpr</w:t>
      </w:r>
      <w:r w:rsidRPr="00D41EA5">
        <w:rPr>
          <w:i/>
          <w:vertAlign w:val="subscript"/>
          <w:lang w:val="en-US"/>
        </w:rPr>
        <w:t xml:space="preserve">3 </w:t>
      </w:r>
      <w:r w:rsidRPr="00D41EA5">
        <w:rPr>
          <w:i/>
          <w:lang w:val="en-US"/>
        </w:rPr>
        <w:t>+ u+b</w:t>
      </w:r>
      <w:r w:rsidRPr="00D41EA5">
        <w:rPr>
          <w:i/>
          <w:vertAlign w:val="subscript"/>
          <w:lang w:val="en-US"/>
        </w:rPr>
        <w:t>34</w:t>
      </w:r>
      <w:r w:rsidRPr="00D41EA5">
        <w:rPr>
          <w:i/>
          <w:lang w:val="en-US"/>
        </w:rPr>
        <w:t>bottle</w:t>
      </w:r>
    </w:p>
    <w:p w14:paraId="3461D779" w14:textId="77777777" w:rsidR="00D41EA5" w:rsidRPr="00D41EA5" w:rsidRDefault="00D41EA5" w:rsidP="00B93BFA">
      <w:pPr>
        <w:spacing w:after="0"/>
        <w:jc w:val="both"/>
        <w:rPr>
          <w:lang w:val="en-US"/>
        </w:rPr>
      </w:pPr>
    </w:p>
    <w:p w14:paraId="6C655669" w14:textId="77777777" w:rsidR="00AE1FEB" w:rsidRDefault="00564A64" w:rsidP="004D2629">
      <w:pPr>
        <w:spacing w:after="0"/>
        <w:jc w:val="both"/>
        <w:rPr>
          <w:lang w:val="en-US"/>
        </w:rPr>
      </w:pPr>
      <w:r>
        <w:rPr>
          <w:lang w:val="en-US"/>
        </w:rPr>
        <w:t>The estimat</w:t>
      </w:r>
      <w:r w:rsidR="00063CA5">
        <w:rPr>
          <w:lang w:val="en-US"/>
        </w:rPr>
        <w:t>ion results are shown in Table 5</w:t>
      </w:r>
      <w:r>
        <w:rPr>
          <w:lang w:val="en-US"/>
        </w:rPr>
        <w:t>. It was supposed that WTP for the fertilizer against salinity w</w:t>
      </w:r>
      <w:r w:rsidR="00150CF3">
        <w:rPr>
          <w:lang w:val="en-US"/>
        </w:rPr>
        <w:t xml:space="preserve">ould be affected by the variables: </w:t>
      </w:r>
      <w:r w:rsidR="00AE1FEB" w:rsidRPr="00276CA8">
        <w:rPr>
          <w:b/>
          <w:i/>
          <w:lang w:val="en-US"/>
        </w:rPr>
        <w:t>age</w:t>
      </w:r>
      <w:r w:rsidR="00AE1FEB">
        <w:rPr>
          <w:lang w:val="en-US"/>
        </w:rPr>
        <w:t xml:space="preserve">, </w:t>
      </w:r>
      <w:r w:rsidR="00AE1FEB" w:rsidRPr="00276CA8">
        <w:rPr>
          <w:b/>
          <w:i/>
          <w:lang w:val="en-US"/>
        </w:rPr>
        <w:t>income</w:t>
      </w:r>
      <w:r w:rsidR="00150CF3">
        <w:rPr>
          <w:lang w:val="en-US"/>
        </w:rPr>
        <w:t xml:space="preserve">, </w:t>
      </w:r>
      <w:proofErr w:type="spellStart"/>
      <w:r w:rsidR="00AE1FEB" w:rsidRPr="00276CA8">
        <w:rPr>
          <w:b/>
          <w:i/>
          <w:lang w:val="en-US"/>
        </w:rPr>
        <w:t>salpr</w:t>
      </w:r>
      <w:proofErr w:type="spellEnd"/>
      <w:r w:rsidR="00BD5FDA">
        <w:rPr>
          <w:lang w:val="en-US"/>
        </w:rPr>
        <w:t xml:space="preserve">, </w:t>
      </w:r>
      <w:proofErr w:type="spellStart"/>
      <w:r w:rsidR="00BD5FDA" w:rsidRPr="00276CA8">
        <w:rPr>
          <w:b/>
          <w:i/>
          <w:lang w:val="en-US"/>
        </w:rPr>
        <w:t>edu</w:t>
      </w:r>
      <w:proofErr w:type="spellEnd"/>
      <w:r w:rsidR="007E33B8">
        <w:rPr>
          <w:lang w:val="en-US"/>
        </w:rPr>
        <w:t xml:space="preserve">, </w:t>
      </w:r>
      <w:r w:rsidR="007E33B8" w:rsidRPr="00276CA8">
        <w:rPr>
          <w:b/>
          <w:i/>
          <w:lang w:val="en-US"/>
        </w:rPr>
        <w:t>years</w:t>
      </w:r>
      <w:r w:rsidR="00150CF3">
        <w:rPr>
          <w:lang w:val="en-US"/>
        </w:rPr>
        <w:t xml:space="preserve"> and </w:t>
      </w:r>
      <w:proofErr w:type="spellStart"/>
      <w:r w:rsidR="00150CF3" w:rsidRPr="00276CA8">
        <w:rPr>
          <w:b/>
          <w:i/>
          <w:lang w:val="en-US"/>
        </w:rPr>
        <w:t>know</w:t>
      </w:r>
      <w:r w:rsidR="00946733" w:rsidRPr="00276CA8">
        <w:rPr>
          <w:b/>
          <w:i/>
          <w:lang w:val="en-US"/>
        </w:rPr>
        <w:t>_</w:t>
      </w:r>
      <w:r w:rsidR="00150CF3" w:rsidRPr="00276CA8">
        <w:rPr>
          <w:b/>
          <w:i/>
          <w:lang w:val="en-US"/>
        </w:rPr>
        <w:t>new</w:t>
      </w:r>
      <w:proofErr w:type="spellEnd"/>
      <w:r w:rsidR="00150CF3">
        <w:rPr>
          <w:lang w:val="en-US"/>
        </w:rPr>
        <w:t>. Especially, it was expected that</w:t>
      </w:r>
      <w:r w:rsidR="00AE1FEB">
        <w:rPr>
          <w:lang w:val="en-US"/>
        </w:rPr>
        <w:t>:</w:t>
      </w:r>
    </w:p>
    <w:p w14:paraId="7ED2623B" w14:textId="77777777" w:rsidR="00EE3CBF" w:rsidRDefault="00AE1FEB" w:rsidP="00AE1FEB">
      <w:pPr>
        <w:pStyle w:val="ListParagraph"/>
        <w:numPr>
          <w:ilvl w:val="0"/>
          <w:numId w:val="2"/>
        </w:numPr>
        <w:spacing w:after="0"/>
        <w:jc w:val="both"/>
        <w:rPr>
          <w:lang w:val="en-US"/>
        </w:rPr>
      </w:pPr>
      <w:r>
        <w:rPr>
          <w:lang w:val="en-US"/>
        </w:rPr>
        <w:t>Y</w:t>
      </w:r>
      <w:r w:rsidRPr="00AE1FEB">
        <w:rPr>
          <w:lang w:val="en-US"/>
        </w:rPr>
        <w:t xml:space="preserve">ounger farmers are more acceptable to agricultural innovations and new products than older ones. </w:t>
      </w:r>
    </w:p>
    <w:p w14:paraId="563665F4" w14:textId="77777777" w:rsidR="00AE1FEB" w:rsidRDefault="00AE1FEB" w:rsidP="00AE1FEB">
      <w:pPr>
        <w:pStyle w:val="ListParagraph"/>
        <w:numPr>
          <w:ilvl w:val="0"/>
          <w:numId w:val="2"/>
        </w:numPr>
        <w:spacing w:after="0"/>
        <w:jc w:val="both"/>
        <w:rPr>
          <w:lang w:val="en-US"/>
        </w:rPr>
      </w:pPr>
      <w:r>
        <w:rPr>
          <w:lang w:val="en-US"/>
        </w:rPr>
        <w:t>An increase in farmers’ income could enhance their WTP for the fertilizer.</w:t>
      </w:r>
    </w:p>
    <w:p w14:paraId="5556DFD4" w14:textId="77777777" w:rsidR="00AE1FEB" w:rsidRDefault="001E3258" w:rsidP="00AE1FEB">
      <w:pPr>
        <w:pStyle w:val="ListParagraph"/>
        <w:numPr>
          <w:ilvl w:val="0"/>
          <w:numId w:val="2"/>
        </w:numPr>
        <w:spacing w:after="0"/>
        <w:jc w:val="both"/>
        <w:rPr>
          <w:lang w:val="en-US"/>
        </w:rPr>
      </w:pPr>
      <w:r>
        <w:rPr>
          <w:lang w:val="en-US"/>
        </w:rPr>
        <w:t xml:space="preserve">Farmers with experience in salinity problems </w:t>
      </w:r>
      <w:r w:rsidR="007E33B8">
        <w:rPr>
          <w:lang w:val="en-US"/>
        </w:rPr>
        <w:t>would be able</w:t>
      </w:r>
      <w:r>
        <w:rPr>
          <w:lang w:val="en-US"/>
        </w:rPr>
        <w:t xml:space="preserve"> to pay more than others </w:t>
      </w:r>
      <w:r w:rsidR="00BD5FDA">
        <w:rPr>
          <w:lang w:val="en-US"/>
        </w:rPr>
        <w:t>with no experience.</w:t>
      </w:r>
    </w:p>
    <w:p w14:paraId="742C12A8" w14:textId="77777777" w:rsidR="00BD5FDA" w:rsidRDefault="007E33B8" w:rsidP="00AE1FEB">
      <w:pPr>
        <w:pStyle w:val="ListParagraph"/>
        <w:numPr>
          <w:ilvl w:val="0"/>
          <w:numId w:val="2"/>
        </w:numPr>
        <w:spacing w:after="0"/>
        <w:jc w:val="both"/>
        <w:rPr>
          <w:lang w:val="en-US"/>
        </w:rPr>
      </w:pPr>
      <w:r>
        <w:rPr>
          <w:lang w:val="en-US"/>
        </w:rPr>
        <w:lastRenderedPageBreak/>
        <w:t>F</w:t>
      </w:r>
      <w:r w:rsidR="00BD5FDA">
        <w:rPr>
          <w:lang w:val="en-US"/>
        </w:rPr>
        <w:t>armers with a higher level of education would better understand the benefits of the innovative fertilizer and pay for it.</w:t>
      </w:r>
    </w:p>
    <w:p w14:paraId="597B6699" w14:textId="77777777" w:rsidR="007E33B8" w:rsidRDefault="007E33B8" w:rsidP="00AE1FEB">
      <w:pPr>
        <w:pStyle w:val="ListParagraph"/>
        <w:numPr>
          <w:ilvl w:val="0"/>
          <w:numId w:val="2"/>
        </w:numPr>
        <w:spacing w:after="0"/>
        <w:jc w:val="both"/>
        <w:rPr>
          <w:lang w:val="en-US"/>
        </w:rPr>
      </w:pPr>
      <w:r>
        <w:rPr>
          <w:lang w:val="en-US"/>
        </w:rPr>
        <w:t xml:space="preserve">Farmers with more years of experience have </w:t>
      </w:r>
      <w:r w:rsidR="001A6572">
        <w:rPr>
          <w:lang w:val="en-US"/>
        </w:rPr>
        <w:t xml:space="preserve">accumulated years of observation and experimentation with many and different agricultural technologies would be more likely </w:t>
      </w:r>
      <w:r w:rsidR="00745E24">
        <w:rPr>
          <w:lang w:val="en-US"/>
        </w:rPr>
        <w:t>to pay more and faster than the others with less experience in farming.</w:t>
      </w:r>
    </w:p>
    <w:p w14:paraId="14B25326" w14:textId="77777777" w:rsidR="00BD5FDA" w:rsidRDefault="00BD5FDA" w:rsidP="00E133C9">
      <w:pPr>
        <w:pStyle w:val="ListParagraph"/>
        <w:numPr>
          <w:ilvl w:val="0"/>
          <w:numId w:val="2"/>
        </w:numPr>
        <w:jc w:val="both"/>
        <w:rPr>
          <w:lang w:val="en-US"/>
        </w:rPr>
      </w:pPr>
      <w:r>
        <w:rPr>
          <w:lang w:val="en-US"/>
        </w:rPr>
        <w:t xml:space="preserve">In general, it was presumed that </w:t>
      </w:r>
      <w:r w:rsidR="00DF24E9">
        <w:rPr>
          <w:lang w:val="en-US"/>
        </w:rPr>
        <w:t>farmers with a higher score in the knowledge of soil salinization would be willing to pay more than the others with a lower score.</w:t>
      </w:r>
    </w:p>
    <w:p w14:paraId="1EBA68CD" w14:textId="43DA68C6" w:rsidR="007E33B8" w:rsidRPr="00B4627F" w:rsidRDefault="00E133C9" w:rsidP="00E133C9">
      <w:pPr>
        <w:jc w:val="both"/>
        <w:rPr>
          <w:lang w:val="en-US"/>
        </w:rPr>
      </w:pPr>
      <w:r>
        <w:rPr>
          <w:lang w:val="en-US"/>
        </w:rPr>
        <w:t>In this study</w:t>
      </w:r>
      <w:r w:rsidR="00276CA8">
        <w:rPr>
          <w:lang w:val="en-US"/>
        </w:rPr>
        <w:t xml:space="preserve">, we observe that the variable </w:t>
      </w:r>
      <w:r w:rsidRPr="00276CA8">
        <w:rPr>
          <w:b/>
          <w:i/>
          <w:lang w:val="en-US"/>
        </w:rPr>
        <w:t>CVIV</w:t>
      </w:r>
      <w:r>
        <w:rPr>
          <w:lang w:val="en-US"/>
        </w:rPr>
        <w:t xml:space="preserve"> associated with the method of willingness to pay has a coefficient of -4.332 and </w:t>
      </w:r>
      <w:r w:rsidR="00F057FF">
        <w:rPr>
          <w:lang w:val="en-US"/>
        </w:rPr>
        <w:t>is negatively significant (</w:t>
      </w:r>
      <w:r w:rsidR="008275AF">
        <w:rPr>
          <w:lang w:val="en-US"/>
        </w:rPr>
        <w:t>at 5% significant level)</w:t>
      </w:r>
      <w:r>
        <w:rPr>
          <w:lang w:val="en-US"/>
        </w:rPr>
        <w:t>. Th</w:t>
      </w:r>
      <w:r w:rsidR="00FD0D31">
        <w:rPr>
          <w:lang w:val="en-US"/>
        </w:rPr>
        <w:t>is</w:t>
      </w:r>
      <w:r>
        <w:rPr>
          <w:lang w:val="en-US"/>
        </w:rPr>
        <w:t xml:space="preserve"> implies that the average difference between the CV and IV methods for both packages is 4</w:t>
      </w:r>
      <w:r w:rsidR="0050275F">
        <w:rPr>
          <w:lang w:val="en-US"/>
        </w:rPr>
        <w:t>.</w:t>
      </w:r>
      <w:r w:rsidR="00E4638B">
        <w:rPr>
          <w:lang w:val="en-US"/>
        </w:rPr>
        <w:t>33</w:t>
      </w:r>
      <w:r>
        <w:rPr>
          <w:lang w:val="en-US"/>
        </w:rPr>
        <w:t xml:space="preserve"> €/lt. In particular, the farmers’ willingness to pay per </w:t>
      </w:r>
      <w:proofErr w:type="spellStart"/>
      <w:r>
        <w:rPr>
          <w:lang w:val="en-US"/>
        </w:rPr>
        <w:t>lt</w:t>
      </w:r>
      <w:proofErr w:type="spellEnd"/>
      <w:r>
        <w:rPr>
          <w:lang w:val="en-US"/>
        </w:rPr>
        <w:t xml:space="preserve"> of packaging is 4</w:t>
      </w:r>
      <w:r w:rsidR="0050275F">
        <w:rPr>
          <w:lang w:val="en-US"/>
        </w:rPr>
        <w:t>.</w:t>
      </w:r>
      <w:r w:rsidR="00E4638B">
        <w:rPr>
          <w:lang w:val="en-US"/>
        </w:rPr>
        <w:t>33</w:t>
      </w:r>
      <w:r>
        <w:rPr>
          <w:lang w:val="en-US"/>
        </w:rPr>
        <w:t xml:space="preserve"> € lower </w:t>
      </w:r>
      <w:r w:rsidR="00FE1419">
        <w:rPr>
          <w:lang w:val="en-US"/>
        </w:rPr>
        <w:t>with the</w:t>
      </w:r>
      <w:r>
        <w:rPr>
          <w:lang w:val="en-US"/>
        </w:rPr>
        <w:t xml:space="preserve"> IV method </w:t>
      </w:r>
      <w:r w:rsidR="00FE1419">
        <w:rPr>
          <w:lang w:val="en-US"/>
        </w:rPr>
        <w:t xml:space="preserve">than the CV method. </w:t>
      </w:r>
      <w:r w:rsidR="00F146B5">
        <w:rPr>
          <w:lang w:val="en-US"/>
        </w:rPr>
        <w:t xml:space="preserve">This indicate that subjects under the IV method are stating lower valuations, which is likely </w:t>
      </w:r>
      <w:r w:rsidR="006D1019">
        <w:rPr>
          <w:lang w:val="en-US"/>
        </w:rPr>
        <w:t xml:space="preserve">clue that this method successfully mitigates social desirability and hypothetical bias </w:t>
      </w:r>
      <w:r w:rsidR="00FE1419">
        <w:rPr>
          <w:lang w:val="en-US"/>
        </w:rPr>
        <w:t xml:space="preserve">(See Part 2). Also, </w:t>
      </w:r>
      <w:r w:rsidR="0058277D">
        <w:rPr>
          <w:lang w:val="en-US"/>
        </w:rPr>
        <w:t xml:space="preserve">there is evidence of significant that </w:t>
      </w:r>
      <w:r w:rsidR="0058277D" w:rsidRPr="00276CA8">
        <w:rPr>
          <w:b/>
          <w:i/>
          <w:lang w:val="en-US"/>
        </w:rPr>
        <w:t>order</w:t>
      </w:r>
      <w:r w:rsidR="0058277D">
        <w:rPr>
          <w:lang w:val="en-US"/>
        </w:rPr>
        <w:t xml:space="preserve"> effects indicating that when the 1lt package of fertilizer wa</w:t>
      </w:r>
      <w:r w:rsidR="003C7674">
        <w:rPr>
          <w:lang w:val="en-US"/>
        </w:rPr>
        <w:t>s asked first, farmers tended to pay</w:t>
      </w:r>
      <w:r w:rsidR="0050275F">
        <w:rPr>
          <w:lang w:val="en-US"/>
        </w:rPr>
        <w:t xml:space="preserve"> 3.</w:t>
      </w:r>
      <w:r w:rsidR="00B92A2F">
        <w:rPr>
          <w:lang w:val="en-US"/>
        </w:rPr>
        <w:t>86</w:t>
      </w:r>
      <w:r w:rsidR="002F616E">
        <w:rPr>
          <w:lang w:val="en-US"/>
        </w:rPr>
        <w:t xml:space="preserve"> €/</w:t>
      </w:r>
      <w:proofErr w:type="spellStart"/>
      <w:r w:rsidR="002F616E">
        <w:rPr>
          <w:lang w:val="en-US"/>
        </w:rPr>
        <w:t>lt</w:t>
      </w:r>
      <w:proofErr w:type="spellEnd"/>
      <w:r w:rsidR="00423719">
        <w:rPr>
          <w:lang w:val="en-US"/>
        </w:rPr>
        <w:t xml:space="preserve"> more</w:t>
      </w:r>
      <w:r w:rsidR="003C7674">
        <w:rPr>
          <w:lang w:val="en-US"/>
        </w:rPr>
        <w:t xml:space="preserve"> than the others who were first asked for the 5lt package of fertilizer. This could be due to the fact that answering the 1lt package question first, made the subjects t</w:t>
      </w:r>
      <w:r w:rsidR="00B4627F">
        <w:rPr>
          <w:lang w:val="en-US"/>
        </w:rPr>
        <w:t>hink that it would be better</w:t>
      </w:r>
      <w:r w:rsidR="00F15D3D">
        <w:rPr>
          <w:lang w:val="en-US"/>
        </w:rPr>
        <w:t xml:space="preserve"> for them</w:t>
      </w:r>
      <w:r w:rsidR="00B4627F">
        <w:rPr>
          <w:lang w:val="en-US"/>
        </w:rPr>
        <w:t xml:space="preserve"> to begin testing the product on a smaller field of crops in order </w:t>
      </w:r>
      <w:r w:rsidR="00F15D3D">
        <w:rPr>
          <w:lang w:val="en-US"/>
        </w:rPr>
        <w:t xml:space="preserve">to </w:t>
      </w:r>
      <w:r w:rsidR="00B4627F">
        <w:rPr>
          <w:lang w:val="en-US"/>
        </w:rPr>
        <w:t xml:space="preserve">control its effectiveness. </w:t>
      </w:r>
    </w:p>
    <w:p w14:paraId="39A55601" w14:textId="77777777" w:rsidR="00DD189F" w:rsidRDefault="00E113BC" w:rsidP="00E133C9">
      <w:pPr>
        <w:jc w:val="both"/>
        <w:rPr>
          <w:lang w:val="en-US"/>
        </w:rPr>
      </w:pPr>
      <w:r>
        <w:rPr>
          <w:lang w:val="en-US"/>
        </w:rPr>
        <w:t>As it referred in previous sections, recent literature has maintained that consequentiality</w:t>
      </w:r>
      <w:r w:rsidR="00681A10">
        <w:rPr>
          <w:lang w:val="en-US"/>
        </w:rPr>
        <w:t xml:space="preserve"> (</w:t>
      </w:r>
      <w:proofErr w:type="spellStart"/>
      <w:r w:rsidR="00681A10" w:rsidRPr="00681A10">
        <w:rPr>
          <w:b/>
          <w:lang w:val="en-US"/>
        </w:rPr>
        <w:t>conseq</w:t>
      </w:r>
      <w:proofErr w:type="spellEnd"/>
      <w:r w:rsidR="00681A10">
        <w:rPr>
          <w:lang w:val="en-US"/>
        </w:rPr>
        <w:t>)</w:t>
      </w:r>
      <w:r>
        <w:rPr>
          <w:lang w:val="en-US"/>
        </w:rPr>
        <w:t xml:space="preserve"> is necessary for incentive compatibility.</w:t>
      </w:r>
      <w:r w:rsidR="008B4D45">
        <w:rPr>
          <w:lang w:val="en-US"/>
        </w:rPr>
        <w:t xml:space="preserve"> In particular farmers who stated that they believed their answers will be taken into account by producers, traders and perceptions on a ‘’Moderate’’ and ‘’Very/Very much’’ likelihood </w:t>
      </w:r>
      <w:r w:rsidR="009711DC">
        <w:rPr>
          <w:lang w:val="en-US"/>
        </w:rPr>
        <w:t>were</w:t>
      </w:r>
      <w:r w:rsidR="0050275F">
        <w:rPr>
          <w:lang w:val="en-US"/>
        </w:rPr>
        <w:t xml:space="preserve"> willing to pay 3.</w:t>
      </w:r>
      <w:r w:rsidR="005667D0">
        <w:rPr>
          <w:lang w:val="en-US"/>
        </w:rPr>
        <w:t>86</w:t>
      </w:r>
      <w:r w:rsidR="008B4D45">
        <w:rPr>
          <w:lang w:val="en-US"/>
        </w:rPr>
        <w:t xml:space="preserve"> €/</w:t>
      </w:r>
      <w:proofErr w:type="spellStart"/>
      <w:r w:rsidR="008B4D45">
        <w:rPr>
          <w:lang w:val="en-US"/>
        </w:rPr>
        <w:t>lt</w:t>
      </w:r>
      <w:proofErr w:type="spellEnd"/>
      <w:r w:rsidR="008B4D45">
        <w:rPr>
          <w:lang w:val="en-US"/>
        </w:rPr>
        <w:t xml:space="preserve"> more than the others who believed that their responses will be taken ‘’Not at all/Low’’ into account.</w:t>
      </w:r>
      <w:r w:rsidR="007F7293">
        <w:rPr>
          <w:lang w:val="en-US"/>
        </w:rPr>
        <w:t xml:space="preserve"> Also, participants </w:t>
      </w:r>
      <w:r w:rsidR="006B4DFE">
        <w:rPr>
          <w:lang w:val="en-US"/>
        </w:rPr>
        <w:t>who noted that is ‘’Likely/Very likely’’ for their colleagues</w:t>
      </w:r>
      <w:r w:rsidR="00D15D55">
        <w:rPr>
          <w:lang w:val="en-US"/>
        </w:rPr>
        <w:t xml:space="preserve"> to exaggerate in their answers</w:t>
      </w:r>
      <w:r w:rsidR="00681A10">
        <w:rPr>
          <w:lang w:val="en-US"/>
        </w:rPr>
        <w:t xml:space="preserve"> (</w:t>
      </w:r>
      <w:proofErr w:type="spellStart"/>
      <w:r w:rsidR="00681A10" w:rsidRPr="00681A10">
        <w:rPr>
          <w:b/>
          <w:lang w:val="en-US"/>
        </w:rPr>
        <w:t>hbiasot</w:t>
      </w:r>
      <w:proofErr w:type="spellEnd"/>
      <w:r w:rsidR="00681A10">
        <w:rPr>
          <w:lang w:val="en-US"/>
        </w:rPr>
        <w:t>)</w:t>
      </w:r>
      <w:r w:rsidR="00D15D55">
        <w:rPr>
          <w:lang w:val="en-US"/>
        </w:rPr>
        <w:t xml:space="preserve"> </w:t>
      </w:r>
      <w:r w:rsidR="009711DC">
        <w:rPr>
          <w:lang w:val="en-US"/>
        </w:rPr>
        <w:t>were</w:t>
      </w:r>
      <w:r w:rsidR="0050275F">
        <w:rPr>
          <w:lang w:val="en-US"/>
        </w:rPr>
        <w:t xml:space="preserve"> willing to pay 5.</w:t>
      </w:r>
      <w:r w:rsidR="0012291F">
        <w:rPr>
          <w:lang w:val="en-US"/>
        </w:rPr>
        <w:t>72</w:t>
      </w:r>
      <w:r w:rsidR="006B4DFE">
        <w:rPr>
          <w:lang w:val="en-US"/>
        </w:rPr>
        <w:t xml:space="preserve"> €/</w:t>
      </w:r>
      <w:proofErr w:type="spellStart"/>
      <w:r w:rsidR="006B4DFE">
        <w:rPr>
          <w:lang w:val="en-US"/>
        </w:rPr>
        <w:t>lt</w:t>
      </w:r>
      <w:proofErr w:type="spellEnd"/>
      <w:r w:rsidR="006B4DFE">
        <w:rPr>
          <w:lang w:val="en-US"/>
        </w:rPr>
        <w:t xml:space="preserve"> less, compared to those who stated ‘’Not </w:t>
      </w:r>
      <w:r w:rsidR="00F55D80">
        <w:rPr>
          <w:lang w:val="en-US"/>
        </w:rPr>
        <w:t xml:space="preserve">likely </w:t>
      </w:r>
      <w:r w:rsidR="006B4DFE">
        <w:rPr>
          <w:lang w:val="en-US"/>
        </w:rPr>
        <w:t>at all/</w:t>
      </w:r>
      <w:r w:rsidR="00F55D80">
        <w:rPr>
          <w:lang w:val="en-US"/>
        </w:rPr>
        <w:t>Unlikely’’.</w:t>
      </w:r>
      <w:r w:rsidR="006B4DFE">
        <w:rPr>
          <w:lang w:val="en-US"/>
        </w:rPr>
        <w:t xml:space="preserve"> </w:t>
      </w:r>
    </w:p>
    <w:p w14:paraId="2D61E25E" w14:textId="4448D13B" w:rsidR="00FE1419" w:rsidRDefault="00225224" w:rsidP="00FD0D31">
      <w:pPr>
        <w:jc w:val="both"/>
        <w:rPr>
          <w:lang w:val="en-US"/>
        </w:rPr>
      </w:pPr>
      <w:r>
        <w:rPr>
          <w:lang w:val="en-US"/>
        </w:rPr>
        <w:t xml:space="preserve">The study revealed that increasing the size of cultivated land is likely to increase farmers’ willingness to pay. </w:t>
      </w:r>
      <w:r w:rsidR="00DD189F">
        <w:rPr>
          <w:lang w:val="en-US"/>
        </w:rPr>
        <w:t xml:space="preserve">It seems that the variables </w:t>
      </w:r>
      <w:proofErr w:type="spellStart"/>
      <w:r w:rsidR="00276CA8" w:rsidRPr="00276CA8">
        <w:rPr>
          <w:b/>
          <w:i/>
          <w:lang w:val="en-US"/>
        </w:rPr>
        <w:t>kt</w:t>
      </w:r>
      <w:proofErr w:type="spellEnd"/>
      <w:r w:rsidR="00276CA8">
        <w:rPr>
          <w:lang w:val="en-US"/>
        </w:rPr>
        <w:t xml:space="preserve"> and </w:t>
      </w:r>
      <w:proofErr w:type="spellStart"/>
      <w:r w:rsidR="00276CA8" w:rsidRPr="00276CA8">
        <w:rPr>
          <w:b/>
          <w:i/>
          <w:lang w:val="en-US"/>
        </w:rPr>
        <w:t>sunloi</w:t>
      </w:r>
      <w:proofErr w:type="spellEnd"/>
      <w:r w:rsidR="00F146B5">
        <w:rPr>
          <w:lang w:val="en-US"/>
        </w:rPr>
        <w:t xml:space="preserve"> have a positive effect on</w:t>
      </w:r>
      <w:r w:rsidR="00FD0D31">
        <w:rPr>
          <w:lang w:val="en-US"/>
        </w:rPr>
        <w:t xml:space="preserve"> our dependent variable</w:t>
      </w:r>
      <w:r w:rsidR="00F146B5">
        <w:rPr>
          <w:lang w:val="en-US"/>
        </w:rPr>
        <w:t xml:space="preserve">. </w:t>
      </w:r>
      <w:r w:rsidR="00FD0D31">
        <w:rPr>
          <w:lang w:val="en-US"/>
        </w:rPr>
        <w:t xml:space="preserve">That is, for every </w:t>
      </w:r>
      <w:r w:rsidR="00E17976">
        <w:rPr>
          <w:lang w:val="en-US"/>
        </w:rPr>
        <w:t>extra acre of greenhouse crops</w:t>
      </w:r>
      <w:r w:rsidR="00E3029B">
        <w:rPr>
          <w:lang w:val="en-US"/>
        </w:rPr>
        <w:t xml:space="preserve"> (</w:t>
      </w:r>
      <w:proofErr w:type="spellStart"/>
      <w:r w:rsidR="00E3029B">
        <w:rPr>
          <w:lang w:val="en-US"/>
        </w:rPr>
        <w:t>kt</w:t>
      </w:r>
      <w:proofErr w:type="spellEnd"/>
      <w:r w:rsidR="00E3029B">
        <w:rPr>
          <w:lang w:val="en-US"/>
        </w:rPr>
        <w:t>)</w:t>
      </w:r>
      <w:r w:rsidR="00E17976">
        <w:rPr>
          <w:lang w:val="en-US"/>
        </w:rPr>
        <w:t xml:space="preserve"> and </w:t>
      </w:r>
      <w:r w:rsidR="00E3029B">
        <w:rPr>
          <w:lang w:val="en-US"/>
        </w:rPr>
        <w:t xml:space="preserve">the crops of vine and </w:t>
      </w:r>
      <w:r w:rsidR="00E17976">
        <w:rPr>
          <w:lang w:val="en-US"/>
        </w:rPr>
        <w:t>pomegranate</w:t>
      </w:r>
      <w:r w:rsidR="00E3029B">
        <w:rPr>
          <w:lang w:val="en-US"/>
        </w:rPr>
        <w:t xml:space="preserve"> (</w:t>
      </w:r>
      <w:proofErr w:type="spellStart"/>
      <w:r w:rsidR="00E3029B">
        <w:rPr>
          <w:lang w:val="en-US"/>
        </w:rPr>
        <w:t>sunloi</w:t>
      </w:r>
      <w:proofErr w:type="spellEnd"/>
      <w:r w:rsidR="00E17976">
        <w:rPr>
          <w:lang w:val="en-US"/>
        </w:rPr>
        <w:t xml:space="preserve">) </w:t>
      </w:r>
      <w:r w:rsidR="009711DC">
        <w:rPr>
          <w:lang w:val="en-US"/>
        </w:rPr>
        <w:t>were</w:t>
      </w:r>
      <w:r w:rsidR="00E17976">
        <w:rPr>
          <w:lang w:val="en-US"/>
        </w:rPr>
        <w:t xml:space="preserve"> willing to pay 12 cents/</w:t>
      </w:r>
      <w:proofErr w:type="spellStart"/>
      <w:r w:rsidR="00E17976">
        <w:rPr>
          <w:lang w:val="en-US"/>
        </w:rPr>
        <w:t>lt</w:t>
      </w:r>
      <w:proofErr w:type="spellEnd"/>
      <w:r w:rsidR="00E17976">
        <w:rPr>
          <w:lang w:val="en-US"/>
        </w:rPr>
        <w:t xml:space="preserve"> and 19 cents/</w:t>
      </w:r>
      <w:proofErr w:type="spellStart"/>
      <w:r w:rsidR="00E17976">
        <w:rPr>
          <w:lang w:val="en-US"/>
        </w:rPr>
        <w:t>lt</w:t>
      </w:r>
      <w:proofErr w:type="spellEnd"/>
      <w:r w:rsidR="00E17976">
        <w:rPr>
          <w:lang w:val="en-US"/>
        </w:rPr>
        <w:t xml:space="preserve"> more respectively. </w:t>
      </w:r>
      <w:r w:rsidR="00926EB7">
        <w:rPr>
          <w:lang w:val="en-US"/>
        </w:rPr>
        <w:t xml:space="preserve">Regarding the level of education, as we hypothesized above, farmers who have </w:t>
      </w:r>
      <w:r w:rsidR="008F201B">
        <w:rPr>
          <w:lang w:val="en-US"/>
        </w:rPr>
        <w:t>acquired a ‘’</w:t>
      </w:r>
      <w:r w:rsidR="001B52D4">
        <w:rPr>
          <w:lang w:val="en-US"/>
        </w:rPr>
        <w:t xml:space="preserve">Secondary </w:t>
      </w:r>
      <w:r w:rsidR="008F201B">
        <w:rPr>
          <w:lang w:val="en-US"/>
        </w:rPr>
        <w:t>school’’ education and</w:t>
      </w:r>
      <w:r w:rsidR="00F15D3D">
        <w:rPr>
          <w:lang w:val="en-US"/>
        </w:rPr>
        <w:t xml:space="preserve"> the</w:t>
      </w:r>
      <w:r w:rsidR="008F201B">
        <w:rPr>
          <w:lang w:val="en-US"/>
        </w:rPr>
        <w:t xml:space="preserve"> </w:t>
      </w:r>
      <w:r w:rsidR="00F15D3D">
        <w:rPr>
          <w:lang w:val="en-US"/>
        </w:rPr>
        <w:t>‘’University/College graduate’’ ha</w:t>
      </w:r>
      <w:r w:rsidR="009711DC">
        <w:rPr>
          <w:lang w:val="en-US"/>
        </w:rPr>
        <w:t>d</w:t>
      </w:r>
      <w:r w:rsidR="00F15D3D">
        <w:rPr>
          <w:lang w:val="en-US"/>
        </w:rPr>
        <w:t xml:space="preserve"> a higher willingness to pay compared to those who declared a ‘’U</w:t>
      </w:r>
      <w:r w:rsidR="0050275F">
        <w:rPr>
          <w:lang w:val="en-US"/>
        </w:rPr>
        <w:t>p to primary school’’ level of 5.85</w:t>
      </w:r>
      <w:r w:rsidR="00F15D3D">
        <w:rPr>
          <w:lang w:val="en-US"/>
        </w:rPr>
        <w:t xml:space="preserve"> €/</w:t>
      </w:r>
      <w:proofErr w:type="spellStart"/>
      <w:r w:rsidR="00F15D3D">
        <w:rPr>
          <w:lang w:val="en-US"/>
        </w:rPr>
        <w:t>l</w:t>
      </w:r>
      <w:r w:rsidR="00777DBC">
        <w:rPr>
          <w:lang w:val="en-US"/>
        </w:rPr>
        <w:t>t</w:t>
      </w:r>
      <w:proofErr w:type="spellEnd"/>
      <w:r w:rsidR="0050275F">
        <w:rPr>
          <w:lang w:val="en-US"/>
        </w:rPr>
        <w:t xml:space="preserve"> and 6.16 €/</w:t>
      </w:r>
      <w:proofErr w:type="spellStart"/>
      <w:r w:rsidR="0050275F">
        <w:rPr>
          <w:lang w:val="en-US"/>
        </w:rPr>
        <w:t>lt</w:t>
      </w:r>
      <w:proofErr w:type="spellEnd"/>
      <w:r w:rsidR="00777DBC">
        <w:rPr>
          <w:lang w:val="en-US"/>
        </w:rPr>
        <w:t xml:space="preserve"> more respectively. This element supports the hypothesis that human capital plays a positive role in the adoption and evaluation of new ideas (</w:t>
      </w:r>
      <w:proofErr w:type="spellStart"/>
      <w:r w:rsidR="00777DBC" w:rsidRPr="00CF62A8">
        <w:rPr>
          <w:lang w:val="en-US"/>
        </w:rPr>
        <w:t>Etim</w:t>
      </w:r>
      <w:proofErr w:type="spellEnd"/>
      <w:r w:rsidR="00777DBC" w:rsidRPr="00CF62A8">
        <w:rPr>
          <w:lang w:val="en-US"/>
        </w:rPr>
        <w:t xml:space="preserve"> and </w:t>
      </w:r>
      <w:proofErr w:type="spellStart"/>
      <w:r w:rsidR="00777DBC" w:rsidRPr="00CF62A8">
        <w:rPr>
          <w:lang w:val="en-US"/>
        </w:rPr>
        <w:t>Edet</w:t>
      </w:r>
      <w:proofErr w:type="spellEnd"/>
      <w:r w:rsidR="00777DBC" w:rsidRPr="00CF62A8">
        <w:rPr>
          <w:lang w:val="en-US"/>
        </w:rPr>
        <w:t>, 2013</w:t>
      </w:r>
      <w:r w:rsidR="00F90725" w:rsidRPr="00CF62A8">
        <w:rPr>
          <w:lang w:val="en-US"/>
        </w:rPr>
        <w:t xml:space="preserve">; </w:t>
      </w:r>
      <w:proofErr w:type="spellStart"/>
      <w:r w:rsidR="00F90725" w:rsidRPr="00CF62A8">
        <w:rPr>
          <w:lang w:val="en-US"/>
        </w:rPr>
        <w:t>Etim</w:t>
      </w:r>
      <w:proofErr w:type="spellEnd"/>
      <w:r w:rsidR="00F90725" w:rsidRPr="00CF62A8">
        <w:rPr>
          <w:lang w:val="en-US"/>
        </w:rPr>
        <w:t xml:space="preserve"> and Benson, 2016</w:t>
      </w:r>
      <w:r w:rsidR="00777DBC">
        <w:rPr>
          <w:lang w:val="en-US"/>
        </w:rPr>
        <w:t>).</w:t>
      </w:r>
    </w:p>
    <w:p w14:paraId="3992BD3B" w14:textId="77777777" w:rsidR="00B242A7" w:rsidRDefault="00A529C2" w:rsidP="00A76C8A">
      <w:pPr>
        <w:jc w:val="both"/>
        <w:rPr>
          <w:lang w:val="en-US"/>
        </w:rPr>
      </w:pPr>
      <w:r>
        <w:rPr>
          <w:lang w:val="en-US"/>
        </w:rPr>
        <w:t>Another determinant factor is the knowledge scale about salinity. The results of the econometric analysis indicated that there is a positive co</w:t>
      </w:r>
      <w:r w:rsidR="00276CA8">
        <w:rPr>
          <w:lang w:val="en-US"/>
        </w:rPr>
        <w:t xml:space="preserve">rrelation between the variable </w:t>
      </w:r>
      <w:proofErr w:type="spellStart"/>
      <w:r w:rsidRPr="00946733">
        <w:rPr>
          <w:b/>
          <w:i/>
          <w:lang w:val="en-US"/>
        </w:rPr>
        <w:t>know_new</w:t>
      </w:r>
      <w:proofErr w:type="spellEnd"/>
      <w:r>
        <w:rPr>
          <w:lang w:val="en-US"/>
        </w:rPr>
        <w:t xml:space="preserve"> and the willingness to pay, since farmers who have ‘’Very good’’ knowledge </w:t>
      </w:r>
      <w:r w:rsidR="009711DC">
        <w:rPr>
          <w:lang w:val="en-US"/>
        </w:rPr>
        <w:t>were</w:t>
      </w:r>
      <w:r w:rsidR="0050275F">
        <w:rPr>
          <w:lang w:val="en-US"/>
        </w:rPr>
        <w:t xml:space="preserve"> willing to pay 4.</w:t>
      </w:r>
      <w:r w:rsidR="009B6EAC">
        <w:rPr>
          <w:lang w:val="en-US"/>
        </w:rPr>
        <w:t>82</w:t>
      </w:r>
      <w:r>
        <w:rPr>
          <w:lang w:val="en-US"/>
        </w:rPr>
        <w:t xml:space="preserve"> €/</w:t>
      </w:r>
      <w:proofErr w:type="spellStart"/>
      <w:r>
        <w:rPr>
          <w:lang w:val="en-US"/>
        </w:rPr>
        <w:t>lt</w:t>
      </w:r>
      <w:proofErr w:type="spellEnd"/>
      <w:r>
        <w:rPr>
          <w:lang w:val="en-US"/>
        </w:rPr>
        <w:t xml:space="preserve"> more than those who have ‘’Minimum/Low’’ knowledge.</w:t>
      </w:r>
      <w:r w:rsidR="009711DC">
        <w:rPr>
          <w:lang w:val="en-US"/>
        </w:rPr>
        <w:t xml:space="preserve"> </w:t>
      </w:r>
      <w:r w:rsidR="00327260">
        <w:rPr>
          <w:lang w:val="en-US"/>
        </w:rPr>
        <w:t xml:space="preserve">Finally, variable </w:t>
      </w:r>
      <w:proofErr w:type="spellStart"/>
      <w:r w:rsidR="00327260">
        <w:rPr>
          <w:b/>
          <w:i/>
          <w:lang w:val="en-US"/>
        </w:rPr>
        <w:t>susk</w:t>
      </w:r>
      <w:proofErr w:type="spellEnd"/>
      <w:r w:rsidR="008D3B4F">
        <w:rPr>
          <w:lang w:val="en-US"/>
        </w:rPr>
        <w:t xml:space="preserve">, in which each producer indicated the package of liquid fertilizer that usually buys, has a positive effect on willingness to pay. Farmers that usually buy liquid fertilizer in 2,5 </w:t>
      </w:r>
      <w:proofErr w:type="spellStart"/>
      <w:r w:rsidR="008D3B4F">
        <w:rPr>
          <w:lang w:val="en-US"/>
        </w:rPr>
        <w:t>lt</w:t>
      </w:r>
      <w:proofErr w:type="spellEnd"/>
      <w:r w:rsidR="008D3B4F">
        <w:rPr>
          <w:lang w:val="en-US"/>
        </w:rPr>
        <w:t xml:space="preserve"> package were willing to pay 13</w:t>
      </w:r>
      <w:r w:rsidR="0050275F">
        <w:rPr>
          <w:lang w:val="en-US"/>
        </w:rPr>
        <w:t>.2</w:t>
      </w:r>
      <w:r w:rsidR="008D3B4F">
        <w:rPr>
          <w:lang w:val="en-US"/>
        </w:rPr>
        <w:t xml:space="preserve"> €/</w:t>
      </w:r>
      <w:proofErr w:type="spellStart"/>
      <w:r w:rsidR="008D3B4F">
        <w:rPr>
          <w:lang w:val="en-US"/>
        </w:rPr>
        <w:t>lt</w:t>
      </w:r>
      <w:proofErr w:type="spellEnd"/>
      <w:r w:rsidR="008D3B4F">
        <w:rPr>
          <w:lang w:val="en-US"/>
        </w:rPr>
        <w:t xml:space="preserve"> more than the others who buy the 1 </w:t>
      </w:r>
      <w:proofErr w:type="spellStart"/>
      <w:r w:rsidR="008D3B4F">
        <w:rPr>
          <w:lang w:val="en-US"/>
        </w:rPr>
        <w:t>lt</w:t>
      </w:r>
      <w:proofErr w:type="spellEnd"/>
      <w:r w:rsidR="008D3B4F">
        <w:rPr>
          <w:lang w:val="en-US"/>
        </w:rPr>
        <w:t xml:space="preserve"> package.</w:t>
      </w:r>
      <w:r w:rsidR="00764D23">
        <w:rPr>
          <w:lang w:val="en-US"/>
        </w:rPr>
        <w:t xml:space="preserve"> It </w:t>
      </w:r>
      <w:r w:rsidR="00764D23">
        <w:rPr>
          <w:lang w:val="en-US"/>
        </w:rPr>
        <w:lastRenderedPageBreak/>
        <w:t xml:space="preserve">is worthwhile that the variables </w:t>
      </w:r>
      <w:r w:rsidR="00AC364C">
        <w:rPr>
          <w:b/>
          <w:i/>
          <w:lang w:val="en-US"/>
        </w:rPr>
        <w:t>age</w:t>
      </w:r>
      <w:r w:rsidR="00764D23">
        <w:rPr>
          <w:lang w:val="en-US"/>
        </w:rPr>
        <w:t xml:space="preserve">, </w:t>
      </w:r>
      <w:r w:rsidR="00AC364C">
        <w:rPr>
          <w:b/>
          <w:i/>
          <w:lang w:val="en-US"/>
        </w:rPr>
        <w:t>income</w:t>
      </w:r>
      <w:r w:rsidR="00AC364C">
        <w:rPr>
          <w:lang w:val="en-US"/>
        </w:rPr>
        <w:t xml:space="preserve">, </w:t>
      </w:r>
      <w:r w:rsidR="00764D23" w:rsidRPr="00AC364C">
        <w:rPr>
          <w:b/>
          <w:i/>
          <w:lang w:val="en-US"/>
        </w:rPr>
        <w:t>years</w:t>
      </w:r>
      <w:r w:rsidR="00AC364C">
        <w:rPr>
          <w:lang w:val="en-US"/>
        </w:rPr>
        <w:t xml:space="preserve"> and </w:t>
      </w:r>
      <w:proofErr w:type="spellStart"/>
      <w:r w:rsidR="00764D23" w:rsidRPr="00AC364C">
        <w:rPr>
          <w:b/>
          <w:i/>
          <w:lang w:val="en-US"/>
        </w:rPr>
        <w:t>salpr</w:t>
      </w:r>
      <w:proofErr w:type="spellEnd"/>
      <w:r w:rsidR="00764D23">
        <w:rPr>
          <w:lang w:val="en-US"/>
        </w:rPr>
        <w:t xml:space="preserve"> hadn’t any effect on the farmers’</w:t>
      </w:r>
      <w:r w:rsidR="00565695">
        <w:rPr>
          <w:lang w:val="en-US"/>
        </w:rPr>
        <w:t xml:space="preserve"> willingness to pay.</w:t>
      </w:r>
    </w:p>
    <w:p w14:paraId="7BD0B355" w14:textId="77777777" w:rsidR="00855946" w:rsidRDefault="00063CA5" w:rsidP="00DC4DA9">
      <w:pPr>
        <w:spacing w:after="0"/>
        <w:jc w:val="center"/>
        <w:outlineLvl w:val="0"/>
        <w:rPr>
          <w:lang w:val="en-US"/>
        </w:rPr>
      </w:pPr>
      <w:r>
        <w:rPr>
          <w:lang w:val="en-US"/>
        </w:rPr>
        <w:t>Table 5</w:t>
      </w:r>
      <w:r w:rsidR="00855946">
        <w:rPr>
          <w:lang w:val="en-US"/>
        </w:rPr>
        <w:t xml:space="preserve">: </w:t>
      </w:r>
      <w:r w:rsidR="00996A6F">
        <w:rPr>
          <w:lang w:val="en-US"/>
        </w:rPr>
        <w:t>Choice experiment estimation</w:t>
      </w:r>
    </w:p>
    <w:tbl>
      <w:tblPr>
        <w:tblStyle w:val="TableGrid"/>
        <w:tblW w:w="0" w:type="auto"/>
        <w:jc w:val="center"/>
        <w:tblLook w:val="04A0" w:firstRow="1" w:lastRow="0" w:firstColumn="1" w:lastColumn="0" w:noHBand="0" w:noVBand="1"/>
      </w:tblPr>
      <w:tblGrid>
        <w:gridCol w:w="2512"/>
        <w:gridCol w:w="1272"/>
        <w:gridCol w:w="1318"/>
        <w:gridCol w:w="2411"/>
      </w:tblGrid>
      <w:tr w:rsidR="00A25DBC" w:rsidRPr="00786F76" w14:paraId="32E1B940" w14:textId="77777777" w:rsidTr="00E0657C">
        <w:trPr>
          <w:trHeight w:val="20"/>
          <w:jc w:val="center"/>
        </w:trPr>
        <w:tc>
          <w:tcPr>
            <w:tcW w:w="2512" w:type="dxa"/>
            <w:tcBorders>
              <w:top w:val="double" w:sz="4" w:space="0" w:color="000000"/>
              <w:left w:val="nil"/>
              <w:bottom w:val="double" w:sz="4" w:space="0" w:color="000000"/>
              <w:right w:val="nil"/>
            </w:tcBorders>
            <w:noWrap/>
            <w:hideMark/>
          </w:tcPr>
          <w:p w14:paraId="0F252C6A" w14:textId="77777777" w:rsidR="00D0316C" w:rsidRPr="00D0316C" w:rsidRDefault="00D0316C" w:rsidP="00D0316C">
            <w:pPr>
              <w:jc w:val="center"/>
              <w:rPr>
                <w:b/>
                <w:bCs/>
                <w:lang w:val="en-US"/>
              </w:rPr>
            </w:pPr>
            <w:r w:rsidRPr="00D0316C">
              <w:rPr>
                <w:b/>
                <w:bCs/>
                <w:lang w:val="en-US"/>
              </w:rPr>
              <w:t>Variables</w:t>
            </w:r>
          </w:p>
        </w:tc>
        <w:tc>
          <w:tcPr>
            <w:tcW w:w="1272" w:type="dxa"/>
            <w:tcBorders>
              <w:top w:val="double" w:sz="4" w:space="0" w:color="000000"/>
              <w:left w:val="nil"/>
              <w:bottom w:val="double" w:sz="4" w:space="0" w:color="000000"/>
              <w:right w:val="single" w:sz="4" w:space="0" w:color="auto"/>
            </w:tcBorders>
            <w:noWrap/>
            <w:hideMark/>
          </w:tcPr>
          <w:p w14:paraId="47FFC338" w14:textId="77777777" w:rsidR="00D0316C" w:rsidRPr="00D0316C" w:rsidRDefault="00786F76" w:rsidP="00D0316C">
            <w:pPr>
              <w:jc w:val="center"/>
              <w:rPr>
                <w:lang w:val="en-US"/>
              </w:rPr>
            </w:pPr>
            <w:r>
              <w:rPr>
                <w:b/>
                <w:bCs/>
                <w:lang w:val="en-US"/>
              </w:rPr>
              <w:t xml:space="preserve">   Coef. (SE)</w:t>
            </w:r>
          </w:p>
        </w:tc>
        <w:tc>
          <w:tcPr>
            <w:tcW w:w="1318" w:type="dxa"/>
            <w:tcBorders>
              <w:top w:val="double" w:sz="4" w:space="0" w:color="000000"/>
              <w:left w:val="single" w:sz="4" w:space="0" w:color="auto"/>
              <w:bottom w:val="double" w:sz="4" w:space="0" w:color="000000"/>
              <w:right w:val="nil"/>
            </w:tcBorders>
            <w:noWrap/>
            <w:hideMark/>
          </w:tcPr>
          <w:p w14:paraId="1075CFBB" w14:textId="77777777" w:rsidR="00D0316C" w:rsidRPr="00836FFF" w:rsidRDefault="00836FFF" w:rsidP="00D0316C">
            <w:pPr>
              <w:jc w:val="center"/>
              <w:rPr>
                <w:b/>
                <w:lang w:val="en-US"/>
              </w:rPr>
            </w:pPr>
            <w:r w:rsidRPr="00836FFF">
              <w:rPr>
                <w:b/>
                <w:lang w:val="en-US"/>
              </w:rPr>
              <w:t>Variables</w:t>
            </w:r>
          </w:p>
        </w:tc>
        <w:tc>
          <w:tcPr>
            <w:tcW w:w="2411" w:type="dxa"/>
            <w:tcBorders>
              <w:top w:val="double" w:sz="4" w:space="0" w:color="000000"/>
              <w:left w:val="nil"/>
              <w:bottom w:val="double" w:sz="4" w:space="0" w:color="000000"/>
              <w:right w:val="nil"/>
            </w:tcBorders>
            <w:noWrap/>
            <w:hideMark/>
          </w:tcPr>
          <w:p w14:paraId="5EA49584" w14:textId="77777777" w:rsidR="00D0316C" w:rsidRPr="00D0316C" w:rsidRDefault="00C34DC2" w:rsidP="00D0316C">
            <w:pPr>
              <w:jc w:val="center"/>
              <w:rPr>
                <w:lang w:val="en-US"/>
              </w:rPr>
            </w:pPr>
            <w:r w:rsidRPr="00C34DC2">
              <w:rPr>
                <w:b/>
                <w:bCs/>
                <w:lang w:val="en-US"/>
              </w:rPr>
              <w:t xml:space="preserve">   Coef. (SE)</w:t>
            </w:r>
          </w:p>
        </w:tc>
      </w:tr>
      <w:tr w:rsidR="00FB32F0" w:rsidRPr="00786F76" w14:paraId="203EC703" w14:textId="77777777" w:rsidTr="00E0657C">
        <w:trPr>
          <w:trHeight w:val="20"/>
          <w:jc w:val="center"/>
        </w:trPr>
        <w:tc>
          <w:tcPr>
            <w:tcW w:w="2512" w:type="dxa"/>
            <w:tcBorders>
              <w:top w:val="double" w:sz="4" w:space="0" w:color="000000"/>
              <w:left w:val="nil"/>
              <w:bottom w:val="nil"/>
              <w:right w:val="nil"/>
            </w:tcBorders>
            <w:noWrap/>
            <w:hideMark/>
          </w:tcPr>
          <w:p w14:paraId="329D98D8" w14:textId="77777777" w:rsidR="00D0316C" w:rsidRPr="00D0316C" w:rsidRDefault="00D0316C" w:rsidP="00C34DC2">
            <w:pPr>
              <w:rPr>
                <w:lang w:val="en-US"/>
              </w:rPr>
            </w:pPr>
            <w:r w:rsidRPr="00D0316C">
              <w:rPr>
                <w:bCs/>
                <w:lang w:val="en-US"/>
              </w:rPr>
              <w:t>CVIV</w:t>
            </w:r>
            <w:r w:rsidRPr="00D0316C">
              <w:rPr>
                <w:vertAlign w:val="subscript"/>
                <w:lang w:val="en-US"/>
              </w:rPr>
              <w:t>2</w:t>
            </w:r>
            <w:r w:rsidRPr="00D0316C">
              <w:rPr>
                <w:lang w:val="en-US"/>
              </w:rPr>
              <w:t>*</w:t>
            </w:r>
          </w:p>
        </w:tc>
        <w:tc>
          <w:tcPr>
            <w:tcW w:w="1272" w:type="dxa"/>
            <w:tcBorders>
              <w:top w:val="double" w:sz="4" w:space="0" w:color="000000"/>
              <w:left w:val="nil"/>
              <w:bottom w:val="nil"/>
            </w:tcBorders>
            <w:noWrap/>
            <w:hideMark/>
          </w:tcPr>
          <w:p w14:paraId="634AB83E" w14:textId="77777777" w:rsidR="00D0316C" w:rsidRPr="00D0316C" w:rsidRDefault="006B7E10" w:rsidP="00D0316C">
            <w:pPr>
              <w:jc w:val="center"/>
              <w:rPr>
                <w:lang w:val="en-US"/>
              </w:rPr>
            </w:pPr>
            <w:r>
              <w:rPr>
                <w:lang w:val="en-US"/>
              </w:rPr>
              <w:t>-4.332</w:t>
            </w:r>
            <w:r w:rsidR="00D0316C" w:rsidRPr="00D0316C">
              <w:rPr>
                <w:lang w:val="en-US"/>
              </w:rPr>
              <w:t>*</w:t>
            </w:r>
          </w:p>
        </w:tc>
        <w:tc>
          <w:tcPr>
            <w:tcW w:w="1318" w:type="dxa"/>
            <w:tcBorders>
              <w:top w:val="double" w:sz="4" w:space="0" w:color="000000"/>
              <w:bottom w:val="nil"/>
              <w:right w:val="nil"/>
            </w:tcBorders>
            <w:noWrap/>
            <w:hideMark/>
          </w:tcPr>
          <w:p w14:paraId="58CD89FE" w14:textId="77777777" w:rsidR="00D0316C" w:rsidRPr="00D0316C" w:rsidRDefault="006051B8" w:rsidP="00C34DC2">
            <w:pPr>
              <w:rPr>
                <w:lang w:val="en-US"/>
              </w:rPr>
            </w:pPr>
            <w:r w:rsidRPr="00786F76">
              <w:rPr>
                <w:bCs/>
                <w:lang w:val="en-US"/>
              </w:rPr>
              <w:t>know_new</w:t>
            </w:r>
            <w:r w:rsidRPr="00786F76">
              <w:rPr>
                <w:vertAlign w:val="subscript"/>
                <w:lang w:val="en-US"/>
              </w:rPr>
              <w:t>5</w:t>
            </w:r>
          </w:p>
        </w:tc>
        <w:tc>
          <w:tcPr>
            <w:tcW w:w="2411" w:type="dxa"/>
            <w:tcBorders>
              <w:top w:val="double" w:sz="4" w:space="0" w:color="000000"/>
              <w:left w:val="nil"/>
              <w:bottom w:val="nil"/>
              <w:right w:val="nil"/>
            </w:tcBorders>
            <w:noWrap/>
            <w:hideMark/>
          </w:tcPr>
          <w:p w14:paraId="496E625E" w14:textId="77777777" w:rsidR="00D0316C" w:rsidRPr="00D0316C" w:rsidRDefault="005E3F6C" w:rsidP="005E3F6C">
            <w:pPr>
              <w:rPr>
                <w:lang w:val="en-US"/>
              </w:rPr>
            </w:pPr>
            <w:r>
              <w:rPr>
                <w:lang w:val="en-US"/>
              </w:rPr>
              <w:t xml:space="preserve">    </w:t>
            </w:r>
            <w:r w:rsidR="00FB32F0">
              <w:rPr>
                <w:lang w:val="en-US"/>
              </w:rPr>
              <w:t xml:space="preserve">            </w:t>
            </w:r>
            <w:r w:rsidRPr="00786F76">
              <w:rPr>
                <w:lang w:val="en-US"/>
              </w:rPr>
              <w:t>0.747</w:t>
            </w:r>
          </w:p>
        </w:tc>
      </w:tr>
      <w:tr w:rsidR="00D0316C" w:rsidRPr="00786F76" w14:paraId="3226FF42" w14:textId="77777777" w:rsidTr="00E0657C">
        <w:trPr>
          <w:trHeight w:val="20"/>
          <w:jc w:val="center"/>
        </w:trPr>
        <w:tc>
          <w:tcPr>
            <w:tcW w:w="2512" w:type="dxa"/>
            <w:tcBorders>
              <w:top w:val="nil"/>
              <w:left w:val="nil"/>
              <w:bottom w:val="single" w:sz="4" w:space="0" w:color="auto"/>
              <w:right w:val="nil"/>
            </w:tcBorders>
            <w:noWrap/>
            <w:hideMark/>
          </w:tcPr>
          <w:p w14:paraId="3CF2D8B6" w14:textId="77777777" w:rsidR="00D0316C" w:rsidRPr="00D0316C" w:rsidRDefault="00D0316C" w:rsidP="00C34DC2">
            <w:pPr>
              <w:rPr>
                <w:lang w:val="en-US"/>
              </w:rPr>
            </w:pPr>
          </w:p>
        </w:tc>
        <w:tc>
          <w:tcPr>
            <w:tcW w:w="1272" w:type="dxa"/>
            <w:tcBorders>
              <w:top w:val="nil"/>
              <w:left w:val="nil"/>
              <w:bottom w:val="single" w:sz="4" w:space="0" w:color="auto"/>
            </w:tcBorders>
            <w:noWrap/>
            <w:hideMark/>
          </w:tcPr>
          <w:p w14:paraId="7EF6120D" w14:textId="77777777" w:rsidR="00D0316C" w:rsidRPr="00946733" w:rsidRDefault="00F52620" w:rsidP="00D0316C">
            <w:pPr>
              <w:jc w:val="center"/>
              <w:rPr>
                <w:sz w:val="20"/>
                <w:lang w:val="en-US"/>
              </w:rPr>
            </w:pPr>
            <w:r>
              <w:rPr>
                <w:sz w:val="20"/>
                <w:lang w:val="en-US"/>
              </w:rPr>
              <w:t>(1.099)</w:t>
            </w:r>
          </w:p>
        </w:tc>
        <w:tc>
          <w:tcPr>
            <w:tcW w:w="1318" w:type="dxa"/>
            <w:tcBorders>
              <w:top w:val="nil"/>
              <w:bottom w:val="single" w:sz="4" w:space="0" w:color="auto"/>
              <w:right w:val="nil"/>
            </w:tcBorders>
            <w:noWrap/>
            <w:hideMark/>
          </w:tcPr>
          <w:p w14:paraId="0FB78278" w14:textId="77777777" w:rsidR="00D0316C" w:rsidRPr="00946733" w:rsidRDefault="00D0316C" w:rsidP="00C34DC2">
            <w:pPr>
              <w:rPr>
                <w:sz w:val="20"/>
                <w:lang w:val="en-US"/>
              </w:rPr>
            </w:pPr>
          </w:p>
        </w:tc>
        <w:tc>
          <w:tcPr>
            <w:tcW w:w="2411" w:type="dxa"/>
            <w:tcBorders>
              <w:top w:val="nil"/>
              <w:left w:val="nil"/>
              <w:bottom w:val="single" w:sz="4" w:space="0" w:color="auto"/>
              <w:right w:val="nil"/>
            </w:tcBorders>
            <w:noWrap/>
            <w:hideMark/>
          </w:tcPr>
          <w:p w14:paraId="6ED8FF23" w14:textId="77777777" w:rsidR="00D0316C" w:rsidRPr="00946733" w:rsidRDefault="005E3F6C" w:rsidP="00D0316C">
            <w:pPr>
              <w:jc w:val="center"/>
              <w:rPr>
                <w:sz w:val="20"/>
                <w:lang w:val="en-US"/>
              </w:rPr>
            </w:pPr>
            <w:r w:rsidRPr="00946733">
              <w:rPr>
                <w:sz w:val="20"/>
                <w:lang w:val="en-US"/>
              </w:rPr>
              <w:t>(</w:t>
            </w:r>
            <w:r w:rsidRPr="00786F76">
              <w:rPr>
                <w:sz w:val="20"/>
                <w:lang w:val="en-US"/>
              </w:rPr>
              <w:t>2.329</w:t>
            </w:r>
            <w:r w:rsidRPr="00946733">
              <w:rPr>
                <w:sz w:val="20"/>
                <w:lang w:val="en-US"/>
              </w:rPr>
              <w:t>)</w:t>
            </w:r>
          </w:p>
        </w:tc>
      </w:tr>
      <w:tr w:rsidR="00FB32F0" w:rsidRPr="00D0316C" w14:paraId="32B76451" w14:textId="77777777" w:rsidTr="00E0657C">
        <w:trPr>
          <w:trHeight w:val="20"/>
          <w:jc w:val="center"/>
        </w:trPr>
        <w:tc>
          <w:tcPr>
            <w:tcW w:w="2512" w:type="dxa"/>
            <w:tcBorders>
              <w:left w:val="nil"/>
              <w:bottom w:val="nil"/>
              <w:right w:val="nil"/>
            </w:tcBorders>
            <w:noWrap/>
            <w:hideMark/>
          </w:tcPr>
          <w:p w14:paraId="7FC10320" w14:textId="77777777" w:rsidR="00D0316C" w:rsidRPr="00D0316C" w:rsidRDefault="00D0316C" w:rsidP="00C34DC2">
            <w:pPr>
              <w:rPr>
                <w:lang w:val="en-US"/>
              </w:rPr>
            </w:pPr>
            <w:r w:rsidRPr="00D0316C">
              <w:rPr>
                <w:bCs/>
                <w:lang w:val="en-US"/>
              </w:rPr>
              <w:t>order*</w:t>
            </w:r>
          </w:p>
        </w:tc>
        <w:tc>
          <w:tcPr>
            <w:tcW w:w="1272" w:type="dxa"/>
            <w:tcBorders>
              <w:left w:val="nil"/>
              <w:bottom w:val="nil"/>
            </w:tcBorders>
            <w:noWrap/>
            <w:hideMark/>
          </w:tcPr>
          <w:p w14:paraId="4BBE5D42" w14:textId="77777777" w:rsidR="00D0316C" w:rsidRPr="00D0316C" w:rsidRDefault="006B7E10" w:rsidP="00D0316C">
            <w:pPr>
              <w:jc w:val="center"/>
              <w:rPr>
                <w:lang w:val="en-US"/>
              </w:rPr>
            </w:pPr>
            <w:r>
              <w:rPr>
                <w:lang w:val="en-US"/>
              </w:rPr>
              <w:t xml:space="preserve"> 3.867</w:t>
            </w:r>
            <w:r w:rsidR="00D0316C" w:rsidRPr="00D0316C">
              <w:rPr>
                <w:lang w:val="en-US"/>
              </w:rPr>
              <w:t>*</w:t>
            </w:r>
          </w:p>
        </w:tc>
        <w:tc>
          <w:tcPr>
            <w:tcW w:w="1318" w:type="dxa"/>
            <w:tcBorders>
              <w:bottom w:val="nil"/>
              <w:right w:val="nil"/>
            </w:tcBorders>
            <w:noWrap/>
            <w:hideMark/>
          </w:tcPr>
          <w:p w14:paraId="58A671B7" w14:textId="77777777" w:rsidR="00D0316C" w:rsidRPr="00D0316C" w:rsidRDefault="006051B8" w:rsidP="00C34DC2">
            <w:pPr>
              <w:rPr>
                <w:lang w:val="en-US"/>
              </w:rPr>
            </w:pPr>
            <w:r w:rsidRPr="00786F76">
              <w:rPr>
                <w:bCs/>
                <w:lang w:val="en-US"/>
              </w:rPr>
              <w:t>age</w:t>
            </w:r>
            <w:r w:rsidRPr="00786F76">
              <w:rPr>
                <w:vertAlign w:val="subscript"/>
                <w:lang w:val="en-US"/>
              </w:rPr>
              <w:t>2</w:t>
            </w:r>
          </w:p>
        </w:tc>
        <w:tc>
          <w:tcPr>
            <w:tcW w:w="2411" w:type="dxa"/>
            <w:tcBorders>
              <w:left w:val="nil"/>
              <w:bottom w:val="nil"/>
              <w:right w:val="nil"/>
            </w:tcBorders>
            <w:noWrap/>
            <w:hideMark/>
          </w:tcPr>
          <w:p w14:paraId="79FD7010" w14:textId="77777777" w:rsidR="00D0316C" w:rsidRPr="00D0316C" w:rsidRDefault="005E3F6C" w:rsidP="005E3F6C">
            <w:pPr>
              <w:rPr>
                <w:lang w:val="en-US"/>
              </w:rPr>
            </w:pPr>
            <w:r>
              <w:rPr>
                <w:lang w:val="en-US"/>
              </w:rPr>
              <w:t xml:space="preserve">   </w:t>
            </w:r>
            <w:r w:rsidR="00FB32F0">
              <w:rPr>
                <w:lang w:val="en-US"/>
              </w:rPr>
              <w:t xml:space="preserve">            </w:t>
            </w:r>
            <w:r>
              <w:t>-1.449</w:t>
            </w:r>
          </w:p>
        </w:tc>
      </w:tr>
      <w:tr w:rsidR="00D0316C" w:rsidRPr="00D0316C" w14:paraId="1699DC88" w14:textId="77777777" w:rsidTr="00E0657C">
        <w:trPr>
          <w:trHeight w:val="20"/>
          <w:jc w:val="center"/>
        </w:trPr>
        <w:tc>
          <w:tcPr>
            <w:tcW w:w="2512" w:type="dxa"/>
            <w:tcBorders>
              <w:top w:val="nil"/>
              <w:left w:val="nil"/>
              <w:bottom w:val="single" w:sz="4" w:space="0" w:color="auto"/>
              <w:right w:val="nil"/>
            </w:tcBorders>
            <w:noWrap/>
            <w:hideMark/>
          </w:tcPr>
          <w:p w14:paraId="1FC39945" w14:textId="77777777" w:rsidR="00D0316C" w:rsidRPr="00D0316C" w:rsidRDefault="00D0316C" w:rsidP="00C34DC2">
            <w:pPr>
              <w:rPr>
                <w:lang w:val="en-US"/>
              </w:rPr>
            </w:pPr>
          </w:p>
        </w:tc>
        <w:tc>
          <w:tcPr>
            <w:tcW w:w="1272" w:type="dxa"/>
            <w:tcBorders>
              <w:top w:val="nil"/>
              <w:left w:val="nil"/>
              <w:bottom w:val="single" w:sz="4" w:space="0" w:color="auto"/>
            </w:tcBorders>
            <w:noWrap/>
            <w:hideMark/>
          </w:tcPr>
          <w:p w14:paraId="62DA179C" w14:textId="77777777" w:rsidR="00D0316C" w:rsidRPr="00946733" w:rsidRDefault="006B7E10" w:rsidP="00D0316C">
            <w:pPr>
              <w:jc w:val="center"/>
              <w:rPr>
                <w:sz w:val="20"/>
                <w:lang w:val="en-US"/>
              </w:rPr>
            </w:pPr>
            <w:r w:rsidRPr="00946733">
              <w:rPr>
                <w:sz w:val="20"/>
                <w:lang w:val="en-US"/>
              </w:rPr>
              <w:t>(1.166)</w:t>
            </w:r>
          </w:p>
        </w:tc>
        <w:tc>
          <w:tcPr>
            <w:tcW w:w="1318" w:type="dxa"/>
            <w:tcBorders>
              <w:top w:val="nil"/>
              <w:bottom w:val="single" w:sz="4" w:space="0" w:color="auto"/>
              <w:right w:val="nil"/>
            </w:tcBorders>
            <w:noWrap/>
            <w:hideMark/>
          </w:tcPr>
          <w:p w14:paraId="0562CB0E" w14:textId="77777777" w:rsidR="00D0316C" w:rsidRPr="00946733" w:rsidRDefault="00D0316C" w:rsidP="00C34DC2">
            <w:pPr>
              <w:rPr>
                <w:sz w:val="20"/>
                <w:lang w:val="en-US"/>
              </w:rPr>
            </w:pPr>
          </w:p>
        </w:tc>
        <w:tc>
          <w:tcPr>
            <w:tcW w:w="2411" w:type="dxa"/>
            <w:tcBorders>
              <w:top w:val="nil"/>
              <w:left w:val="nil"/>
              <w:bottom w:val="single" w:sz="4" w:space="0" w:color="auto"/>
              <w:right w:val="nil"/>
            </w:tcBorders>
            <w:noWrap/>
            <w:hideMark/>
          </w:tcPr>
          <w:p w14:paraId="55646C15" w14:textId="77777777" w:rsidR="00D0316C" w:rsidRPr="00946733" w:rsidRDefault="005E3F6C" w:rsidP="00D0316C">
            <w:pPr>
              <w:jc w:val="center"/>
              <w:rPr>
                <w:sz w:val="20"/>
                <w:lang w:val="en-US"/>
              </w:rPr>
            </w:pPr>
            <w:r w:rsidRPr="00946733">
              <w:rPr>
                <w:sz w:val="20"/>
                <w:lang w:val="en-US"/>
              </w:rPr>
              <w:t>(</w:t>
            </w:r>
            <w:r w:rsidRPr="00946733">
              <w:rPr>
                <w:sz w:val="20"/>
              </w:rPr>
              <w:t>1.696</w:t>
            </w:r>
            <w:r w:rsidRPr="00946733">
              <w:rPr>
                <w:sz w:val="20"/>
                <w:lang w:val="en-US"/>
              </w:rPr>
              <w:t>)</w:t>
            </w:r>
          </w:p>
        </w:tc>
      </w:tr>
      <w:tr w:rsidR="00A25DBC" w:rsidRPr="00D0316C" w14:paraId="68BB0848" w14:textId="77777777" w:rsidTr="00E0657C">
        <w:trPr>
          <w:trHeight w:val="20"/>
          <w:jc w:val="center"/>
        </w:trPr>
        <w:tc>
          <w:tcPr>
            <w:tcW w:w="2512" w:type="dxa"/>
            <w:tcBorders>
              <w:left w:val="nil"/>
              <w:bottom w:val="nil"/>
              <w:right w:val="nil"/>
            </w:tcBorders>
            <w:noWrap/>
            <w:hideMark/>
          </w:tcPr>
          <w:p w14:paraId="79A0A1ED" w14:textId="77777777" w:rsidR="00D0316C" w:rsidRPr="00D0316C" w:rsidRDefault="00D0316C" w:rsidP="00C34DC2">
            <w:pPr>
              <w:rPr>
                <w:lang w:val="en-US"/>
              </w:rPr>
            </w:pPr>
            <w:r w:rsidRPr="00D0316C">
              <w:rPr>
                <w:bCs/>
                <w:lang w:val="en-US"/>
              </w:rPr>
              <w:t>bottle</w:t>
            </w:r>
            <w:r w:rsidRPr="00D0316C">
              <w:rPr>
                <w:vertAlign w:val="subscript"/>
                <w:lang w:val="en-US"/>
              </w:rPr>
              <w:t>5</w:t>
            </w:r>
            <w:r w:rsidRPr="00D0316C">
              <w:rPr>
                <w:lang w:val="en-US"/>
              </w:rPr>
              <w:t>*</w:t>
            </w:r>
          </w:p>
        </w:tc>
        <w:tc>
          <w:tcPr>
            <w:tcW w:w="1272" w:type="dxa"/>
            <w:tcBorders>
              <w:left w:val="nil"/>
              <w:bottom w:val="nil"/>
              <w:right w:val="single" w:sz="4" w:space="0" w:color="auto"/>
            </w:tcBorders>
            <w:noWrap/>
            <w:hideMark/>
          </w:tcPr>
          <w:p w14:paraId="3BBA2F9D" w14:textId="77777777" w:rsidR="00D0316C" w:rsidRPr="00D0316C" w:rsidRDefault="006B7E10" w:rsidP="00D0316C">
            <w:pPr>
              <w:jc w:val="center"/>
              <w:rPr>
                <w:lang w:val="en-US"/>
              </w:rPr>
            </w:pPr>
            <w:r>
              <w:rPr>
                <w:lang w:val="en-US"/>
              </w:rPr>
              <w:t xml:space="preserve"> 9.947</w:t>
            </w:r>
            <w:r w:rsidR="00D0316C" w:rsidRPr="00D0316C">
              <w:rPr>
                <w:lang w:val="en-US"/>
              </w:rPr>
              <w:t>*</w:t>
            </w:r>
          </w:p>
        </w:tc>
        <w:tc>
          <w:tcPr>
            <w:tcW w:w="1318" w:type="dxa"/>
            <w:tcBorders>
              <w:left w:val="single" w:sz="4" w:space="0" w:color="auto"/>
              <w:bottom w:val="nil"/>
              <w:right w:val="nil"/>
            </w:tcBorders>
            <w:noWrap/>
            <w:hideMark/>
          </w:tcPr>
          <w:p w14:paraId="66715A70" w14:textId="77777777" w:rsidR="00D0316C" w:rsidRPr="00D0316C" w:rsidRDefault="006051B8" w:rsidP="00C34DC2">
            <w:pPr>
              <w:rPr>
                <w:lang w:val="en-US"/>
              </w:rPr>
            </w:pPr>
            <w:r w:rsidRPr="006051B8">
              <w:rPr>
                <w:bCs/>
              </w:rPr>
              <w:t>age</w:t>
            </w:r>
            <w:r w:rsidRPr="006051B8">
              <w:rPr>
                <w:vertAlign w:val="subscript"/>
              </w:rPr>
              <w:t>3</w:t>
            </w:r>
          </w:p>
        </w:tc>
        <w:tc>
          <w:tcPr>
            <w:tcW w:w="2411" w:type="dxa"/>
            <w:tcBorders>
              <w:left w:val="nil"/>
              <w:bottom w:val="nil"/>
              <w:right w:val="nil"/>
            </w:tcBorders>
            <w:noWrap/>
            <w:hideMark/>
          </w:tcPr>
          <w:p w14:paraId="38CA4C21" w14:textId="77777777" w:rsidR="00D0316C" w:rsidRPr="00D0316C" w:rsidRDefault="005E3F6C" w:rsidP="005E3F6C">
            <w:pPr>
              <w:rPr>
                <w:lang w:val="en-US"/>
              </w:rPr>
            </w:pPr>
            <w:r>
              <w:rPr>
                <w:lang w:val="en-US"/>
              </w:rPr>
              <w:t xml:space="preserve">   </w:t>
            </w:r>
            <w:r w:rsidR="00FB32F0">
              <w:rPr>
                <w:lang w:val="en-US"/>
              </w:rPr>
              <w:t xml:space="preserve">            </w:t>
            </w:r>
            <w:r>
              <w:t>-2.661</w:t>
            </w:r>
          </w:p>
        </w:tc>
      </w:tr>
      <w:tr w:rsidR="00FB32F0" w:rsidRPr="00D0316C" w14:paraId="2FF0AC68" w14:textId="77777777" w:rsidTr="00E0657C">
        <w:trPr>
          <w:trHeight w:val="20"/>
          <w:jc w:val="center"/>
        </w:trPr>
        <w:tc>
          <w:tcPr>
            <w:tcW w:w="2512" w:type="dxa"/>
            <w:tcBorders>
              <w:top w:val="nil"/>
              <w:left w:val="nil"/>
              <w:bottom w:val="single" w:sz="4" w:space="0" w:color="auto"/>
              <w:right w:val="nil"/>
            </w:tcBorders>
            <w:noWrap/>
            <w:hideMark/>
          </w:tcPr>
          <w:p w14:paraId="34CE0A41" w14:textId="77777777" w:rsidR="00D0316C" w:rsidRPr="00D0316C" w:rsidRDefault="00D0316C" w:rsidP="00C34DC2">
            <w:pPr>
              <w:rPr>
                <w:lang w:val="en-US"/>
              </w:rPr>
            </w:pPr>
          </w:p>
        </w:tc>
        <w:tc>
          <w:tcPr>
            <w:tcW w:w="1272" w:type="dxa"/>
            <w:tcBorders>
              <w:top w:val="nil"/>
              <w:left w:val="nil"/>
              <w:bottom w:val="single" w:sz="4" w:space="0" w:color="auto"/>
              <w:right w:val="single" w:sz="4" w:space="0" w:color="auto"/>
            </w:tcBorders>
            <w:noWrap/>
            <w:hideMark/>
          </w:tcPr>
          <w:p w14:paraId="7243C1C9" w14:textId="77777777" w:rsidR="00D0316C" w:rsidRPr="00946733" w:rsidRDefault="006B7E10" w:rsidP="00D0316C">
            <w:pPr>
              <w:jc w:val="center"/>
              <w:rPr>
                <w:sz w:val="20"/>
                <w:lang w:val="en-US"/>
              </w:rPr>
            </w:pPr>
            <w:r w:rsidRPr="00946733">
              <w:rPr>
                <w:sz w:val="20"/>
                <w:lang w:val="en-US"/>
              </w:rPr>
              <w:t>(</w:t>
            </w:r>
            <w:r w:rsidR="00D0316C" w:rsidRPr="00946733">
              <w:rPr>
                <w:sz w:val="20"/>
                <w:lang w:val="en-US"/>
              </w:rPr>
              <w:t>2.</w:t>
            </w:r>
            <w:r w:rsidRPr="00946733">
              <w:rPr>
                <w:sz w:val="20"/>
              </w:rPr>
              <w:t>069</w:t>
            </w:r>
            <w:r w:rsidRPr="00946733">
              <w:rPr>
                <w:sz w:val="20"/>
                <w:lang w:val="en-US"/>
              </w:rPr>
              <w:t>)</w:t>
            </w:r>
          </w:p>
        </w:tc>
        <w:tc>
          <w:tcPr>
            <w:tcW w:w="1318" w:type="dxa"/>
            <w:tcBorders>
              <w:top w:val="nil"/>
              <w:left w:val="single" w:sz="4" w:space="0" w:color="auto"/>
              <w:bottom w:val="single" w:sz="4" w:space="0" w:color="auto"/>
              <w:right w:val="nil"/>
            </w:tcBorders>
            <w:noWrap/>
            <w:hideMark/>
          </w:tcPr>
          <w:p w14:paraId="62EBF3C5" w14:textId="77777777" w:rsidR="00D0316C" w:rsidRPr="00946733" w:rsidRDefault="00D0316C" w:rsidP="00C34DC2">
            <w:pPr>
              <w:rPr>
                <w:sz w:val="20"/>
              </w:rPr>
            </w:pPr>
          </w:p>
        </w:tc>
        <w:tc>
          <w:tcPr>
            <w:tcW w:w="2411" w:type="dxa"/>
            <w:tcBorders>
              <w:top w:val="nil"/>
              <w:left w:val="nil"/>
              <w:bottom w:val="single" w:sz="4" w:space="0" w:color="auto"/>
              <w:right w:val="nil"/>
            </w:tcBorders>
            <w:noWrap/>
            <w:hideMark/>
          </w:tcPr>
          <w:p w14:paraId="31228F6E" w14:textId="77777777" w:rsidR="00D0316C" w:rsidRPr="00946733" w:rsidRDefault="005E3F6C" w:rsidP="00D0316C">
            <w:pPr>
              <w:jc w:val="center"/>
              <w:rPr>
                <w:sz w:val="20"/>
              </w:rPr>
            </w:pPr>
            <w:r w:rsidRPr="00946733">
              <w:rPr>
                <w:sz w:val="20"/>
                <w:lang w:val="en-US"/>
              </w:rPr>
              <w:t>(</w:t>
            </w:r>
            <w:r w:rsidRPr="00946733">
              <w:rPr>
                <w:sz w:val="20"/>
              </w:rPr>
              <w:t>2.859</w:t>
            </w:r>
            <w:r w:rsidRPr="00946733">
              <w:rPr>
                <w:sz w:val="20"/>
                <w:lang w:val="en-US"/>
              </w:rPr>
              <w:t>)</w:t>
            </w:r>
          </w:p>
        </w:tc>
      </w:tr>
      <w:tr w:rsidR="00FB32F0" w:rsidRPr="00D0316C" w14:paraId="6593518F" w14:textId="77777777" w:rsidTr="00E0657C">
        <w:trPr>
          <w:trHeight w:val="20"/>
          <w:jc w:val="center"/>
        </w:trPr>
        <w:tc>
          <w:tcPr>
            <w:tcW w:w="2512" w:type="dxa"/>
            <w:tcBorders>
              <w:left w:val="nil"/>
              <w:bottom w:val="nil"/>
              <w:right w:val="nil"/>
            </w:tcBorders>
            <w:noWrap/>
            <w:hideMark/>
          </w:tcPr>
          <w:p w14:paraId="3434B9A5" w14:textId="77777777" w:rsidR="00D0316C" w:rsidRPr="00D0316C" w:rsidRDefault="00D0316C" w:rsidP="00C34DC2">
            <w:r w:rsidRPr="00D0316C">
              <w:rPr>
                <w:bCs/>
              </w:rPr>
              <w:t>conseq</w:t>
            </w:r>
            <w:r w:rsidRPr="00D0316C">
              <w:rPr>
                <w:vertAlign w:val="subscript"/>
              </w:rPr>
              <w:t>3</w:t>
            </w:r>
            <w:r w:rsidRPr="00D0316C">
              <w:t>*</w:t>
            </w:r>
          </w:p>
        </w:tc>
        <w:tc>
          <w:tcPr>
            <w:tcW w:w="1272" w:type="dxa"/>
            <w:tcBorders>
              <w:left w:val="nil"/>
              <w:bottom w:val="nil"/>
            </w:tcBorders>
            <w:noWrap/>
            <w:hideMark/>
          </w:tcPr>
          <w:p w14:paraId="6CD9398D" w14:textId="77777777" w:rsidR="00D0316C" w:rsidRPr="00D0316C" w:rsidRDefault="00D32861" w:rsidP="00D0316C">
            <w:pPr>
              <w:jc w:val="center"/>
            </w:pPr>
            <w:r>
              <w:rPr>
                <w:lang w:val="en-US"/>
              </w:rPr>
              <w:t xml:space="preserve"> </w:t>
            </w:r>
            <w:r>
              <w:t>3.861</w:t>
            </w:r>
            <w:r w:rsidR="00D0316C" w:rsidRPr="00D0316C">
              <w:t>*</w:t>
            </w:r>
          </w:p>
        </w:tc>
        <w:tc>
          <w:tcPr>
            <w:tcW w:w="1318" w:type="dxa"/>
            <w:tcBorders>
              <w:bottom w:val="nil"/>
              <w:right w:val="nil"/>
            </w:tcBorders>
            <w:noWrap/>
            <w:hideMark/>
          </w:tcPr>
          <w:p w14:paraId="0CD94010" w14:textId="77777777" w:rsidR="00D0316C" w:rsidRPr="00D0316C" w:rsidRDefault="006051B8" w:rsidP="00C34DC2">
            <w:proofErr w:type="spellStart"/>
            <w:r w:rsidRPr="006051B8">
              <w:rPr>
                <w:bCs/>
              </w:rPr>
              <w:t>years</w:t>
            </w:r>
            <w:proofErr w:type="spellEnd"/>
          </w:p>
        </w:tc>
        <w:tc>
          <w:tcPr>
            <w:tcW w:w="2411" w:type="dxa"/>
            <w:tcBorders>
              <w:left w:val="nil"/>
              <w:bottom w:val="nil"/>
              <w:right w:val="nil"/>
            </w:tcBorders>
            <w:noWrap/>
            <w:hideMark/>
          </w:tcPr>
          <w:p w14:paraId="7C169050" w14:textId="77777777" w:rsidR="00D0316C" w:rsidRPr="00D0316C" w:rsidRDefault="005E3F6C" w:rsidP="00D0316C">
            <w:pPr>
              <w:jc w:val="center"/>
            </w:pPr>
            <w:r>
              <w:t>0.076</w:t>
            </w:r>
          </w:p>
        </w:tc>
      </w:tr>
      <w:tr w:rsidR="00D0316C" w:rsidRPr="00D0316C" w14:paraId="02B354CC" w14:textId="77777777" w:rsidTr="00E0657C">
        <w:trPr>
          <w:trHeight w:val="20"/>
          <w:jc w:val="center"/>
        </w:trPr>
        <w:tc>
          <w:tcPr>
            <w:tcW w:w="2512" w:type="dxa"/>
            <w:tcBorders>
              <w:top w:val="nil"/>
              <w:left w:val="nil"/>
              <w:bottom w:val="single" w:sz="4" w:space="0" w:color="auto"/>
              <w:right w:val="nil"/>
            </w:tcBorders>
            <w:noWrap/>
            <w:hideMark/>
          </w:tcPr>
          <w:p w14:paraId="6D98A12B" w14:textId="77777777" w:rsidR="00D0316C" w:rsidRPr="00D0316C" w:rsidRDefault="00D0316C" w:rsidP="00C34DC2"/>
        </w:tc>
        <w:tc>
          <w:tcPr>
            <w:tcW w:w="1272" w:type="dxa"/>
            <w:tcBorders>
              <w:top w:val="nil"/>
              <w:left w:val="nil"/>
              <w:bottom w:val="single" w:sz="4" w:space="0" w:color="auto"/>
            </w:tcBorders>
            <w:noWrap/>
            <w:hideMark/>
          </w:tcPr>
          <w:p w14:paraId="3B4B0DDE" w14:textId="77777777" w:rsidR="00D0316C" w:rsidRPr="00D32861" w:rsidRDefault="00D32861" w:rsidP="00D0316C">
            <w:pPr>
              <w:jc w:val="center"/>
              <w:rPr>
                <w:lang w:val="en-US"/>
              </w:rPr>
            </w:pPr>
            <w:r>
              <w:rPr>
                <w:lang w:val="en-US"/>
              </w:rPr>
              <w:t>(</w:t>
            </w:r>
            <w:r>
              <w:t>1.405</w:t>
            </w:r>
            <w:r>
              <w:rPr>
                <w:lang w:val="en-US"/>
              </w:rPr>
              <w:t>)</w:t>
            </w:r>
          </w:p>
        </w:tc>
        <w:tc>
          <w:tcPr>
            <w:tcW w:w="1318" w:type="dxa"/>
            <w:tcBorders>
              <w:top w:val="nil"/>
              <w:bottom w:val="single" w:sz="4" w:space="0" w:color="auto"/>
              <w:right w:val="nil"/>
            </w:tcBorders>
            <w:noWrap/>
            <w:hideMark/>
          </w:tcPr>
          <w:p w14:paraId="2946DB82" w14:textId="77777777" w:rsidR="00D0316C" w:rsidRPr="00D0316C" w:rsidRDefault="00D0316C" w:rsidP="00C34DC2"/>
        </w:tc>
        <w:tc>
          <w:tcPr>
            <w:tcW w:w="2411" w:type="dxa"/>
            <w:tcBorders>
              <w:top w:val="nil"/>
              <w:left w:val="nil"/>
              <w:bottom w:val="single" w:sz="4" w:space="0" w:color="auto"/>
              <w:right w:val="nil"/>
            </w:tcBorders>
            <w:noWrap/>
            <w:hideMark/>
          </w:tcPr>
          <w:p w14:paraId="21D6D428" w14:textId="77777777" w:rsidR="00D0316C" w:rsidRPr="00D0316C" w:rsidRDefault="005E3F6C" w:rsidP="00D0316C">
            <w:pPr>
              <w:jc w:val="center"/>
            </w:pPr>
            <w:r>
              <w:rPr>
                <w:lang w:val="en-US"/>
              </w:rPr>
              <w:t>(</w:t>
            </w:r>
            <w:r>
              <w:t>0.056</w:t>
            </w:r>
            <w:r>
              <w:rPr>
                <w:lang w:val="en-US"/>
              </w:rPr>
              <w:t>)</w:t>
            </w:r>
          </w:p>
        </w:tc>
      </w:tr>
      <w:tr w:rsidR="00FB32F0" w:rsidRPr="00D0316C" w14:paraId="2A05ADD3" w14:textId="77777777" w:rsidTr="00E0657C">
        <w:trPr>
          <w:trHeight w:val="20"/>
          <w:jc w:val="center"/>
        </w:trPr>
        <w:tc>
          <w:tcPr>
            <w:tcW w:w="2512" w:type="dxa"/>
            <w:tcBorders>
              <w:left w:val="nil"/>
              <w:bottom w:val="nil"/>
              <w:right w:val="nil"/>
            </w:tcBorders>
            <w:noWrap/>
            <w:hideMark/>
          </w:tcPr>
          <w:p w14:paraId="493DD003" w14:textId="77777777" w:rsidR="00D0316C" w:rsidRPr="00D0316C" w:rsidRDefault="00D0316C" w:rsidP="00C34DC2">
            <w:r w:rsidRPr="00D0316C">
              <w:rPr>
                <w:bCs/>
              </w:rPr>
              <w:t>conseq</w:t>
            </w:r>
            <w:r w:rsidRPr="00D0316C">
              <w:rPr>
                <w:vertAlign w:val="subscript"/>
              </w:rPr>
              <w:t>4</w:t>
            </w:r>
            <w:r w:rsidRPr="00D0316C">
              <w:t>*</w:t>
            </w:r>
          </w:p>
        </w:tc>
        <w:tc>
          <w:tcPr>
            <w:tcW w:w="1272" w:type="dxa"/>
            <w:tcBorders>
              <w:left w:val="nil"/>
              <w:bottom w:val="nil"/>
            </w:tcBorders>
            <w:noWrap/>
            <w:hideMark/>
          </w:tcPr>
          <w:p w14:paraId="09A70D56" w14:textId="77777777" w:rsidR="00D0316C" w:rsidRPr="00D0316C" w:rsidRDefault="0067076B" w:rsidP="00D0316C">
            <w:pPr>
              <w:jc w:val="center"/>
            </w:pPr>
            <w:r>
              <w:rPr>
                <w:lang w:val="en-US"/>
              </w:rPr>
              <w:t xml:space="preserve"> </w:t>
            </w:r>
            <w:r>
              <w:t>3.864</w:t>
            </w:r>
            <w:r w:rsidR="00D0316C" w:rsidRPr="00D0316C">
              <w:t>*</w:t>
            </w:r>
          </w:p>
        </w:tc>
        <w:tc>
          <w:tcPr>
            <w:tcW w:w="1318" w:type="dxa"/>
            <w:tcBorders>
              <w:bottom w:val="nil"/>
              <w:right w:val="nil"/>
            </w:tcBorders>
            <w:noWrap/>
            <w:hideMark/>
          </w:tcPr>
          <w:p w14:paraId="78348270" w14:textId="77777777" w:rsidR="00D0316C" w:rsidRPr="00D0316C" w:rsidRDefault="006051B8" w:rsidP="00C34DC2">
            <w:r w:rsidRPr="006051B8">
              <w:rPr>
                <w:bCs/>
              </w:rPr>
              <w:t>edu</w:t>
            </w:r>
            <w:r w:rsidRPr="006051B8">
              <w:rPr>
                <w:vertAlign w:val="subscript"/>
              </w:rPr>
              <w:t>2</w:t>
            </w:r>
          </w:p>
        </w:tc>
        <w:tc>
          <w:tcPr>
            <w:tcW w:w="2411" w:type="dxa"/>
            <w:tcBorders>
              <w:left w:val="nil"/>
              <w:bottom w:val="nil"/>
              <w:right w:val="nil"/>
            </w:tcBorders>
            <w:noWrap/>
            <w:hideMark/>
          </w:tcPr>
          <w:p w14:paraId="295EE528" w14:textId="77777777" w:rsidR="00D0316C" w:rsidRPr="00D0316C" w:rsidRDefault="005E3F6C" w:rsidP="00D0316C">
            <w:pPr>
              <w:jc w:val="center"/>
            </w:pPr>
            <w:r>
              <w:t>3.511</w:t>
            </w:r>
          </w:p>
        </w:tc>
      </w:tr>
      <w:tr w:rsidR="00D0316C" w:rsidRPr="00D0316C" w14:paraId="34A123D4" w14:textId="77777777" w:rsidTr="00E0657C">
        <w:trPr>
          <w:trHeight w:val="20"/>
          <w:jc w:val="center"/>
        </w:trPr>
        <w:tc>
          <w:tcPr>
            <w:tcW w:w="2512" w:type="dxa"/>
            <w:tcBorders>
              <w:top w:val="nil"/>
              <w:left w:val="nil"/>
              <w:bottom w:val="single" w:sz="4" w:space="0" w:color="auto"/>
              <w:right w:val="nil"/>
            </w:tcBorders>
            <w:noWrap/>
            <w:hideMark/>
          </w:tcPr>
          <w:p w14:paraId="5997CC1D" w14:textId="77777777" w:rsidR="00D0316C" w:rsidRPr="00D0316C" w:rsidRDefault="00D0316C" w:rsidP="00C34DC2"/>
        </w:tc>
        <w:tc>
          <w:tcPr>
            <w:tcW w:w="1272" w:type="dxa"/>
            <w:tcBorders>
              <w:top w:val="nil"/>
              <w:left w:val="nil"/>
              <w:bottom w:val="single" w:sz="4" w:space="0" w:color="auto"/>
            </w:tcBorders>
            <w:noWrap/>
            <w:hideMark/>
          </w:tcPr>
          <w:p w14:paraId="39231780" w14:textId="77777777" w:rsidR="00D0316C" w:rsidRPr="0067076B" w:rsidRDefault="0067076B" w:rsidP="00D0316C">
            <w:pPr>
              <w:jc w:val="center"/>
              <w:rPr>
                <w:lang w:val="en-US"/>
              </w:rPr>
            </w:pPr>
            <w:r>
              <w:rPr>
                <w:lang w:val="en-US"/>
              </w:rPr>
              <w:t>(</w:t>
            </w:r>
            <w:r>
              <w:t>1.537</w:t>
            </w:r>
            <w:r>
              <w:rPr>
                <w:lang w:val="en-US"/>
              </w:rPr>
              <w:t>)</w:t>
            </w:r>
          </w:p>
        </w:tc>
        <w:tc>
          <w:tcPr>
            <w:tcW w:w="1318" w:type="dxa"/>
            <w:tcBorders>
              <w:top w:val="nil"/>
              <w:bottom w:val="single" w:sz="4" w:space="0" w:color="auto"/>
              <w:right w:val="nil"/>
            </w:tcBorders>
            <w:noWrap/>
            <w:hideMark/>
          </w:tcPr>
          <w:p w14:paraId="110FFD37" w14:textId="77777777" w:rsidR="00D0316C" w:rsidRPr="00D0316C" w:rsidRDefault="00D0316C" w:rsidP="00C34DC2"/>
        </w:tc>
        <w:tc>
          <w:tcPr>
            <w:tcW w:w="2411" w:type="dxa"/>
            <w:tcBorders>
              <w:top w:val="nil"/>
              <w:left w:val="nil"/>
              <w:bottom w:val="single" w:sz="4" w:space="0" w:color="auto"/>
              <w:right w:val="nil"/>
            </w:tcBorders>
            <w:noWrap/>
            <w:hideMark/>
          </w:tcPr>
          <w:p w14:paraId="6F0C7419" w14:textId="77777777" w:rsidR="00D0316C" w:rsidRPr="00D0316C" w:rsidRDefault="005E3F6C" w:rsidP="00D0316C">
            <w:pPr>
              <w:jc w:val="center"/>
            </w:pPr>
            <w:r>
              <w:rPr>
                <w:lang w:val="en-US"/>
              </w:rPr>
              <w:t>(</w:t>
            </w:r>
            <w:r>
              <w:t>2.682</w:t>
            </w:r>
            <w:r>
              <w:rPr>
                <w:lang w:val="en-US"/>
              </w:rPr>
              <w:t>)</w:t>
            </w:r>
          </w:p>
        </w:tc>
      </w:tr>
      <w:tr w:rsidR="00FB32F0" w:rsidRPr="00D0316C" w14:paraId="7005BF5A" w14:textId="77777777" w:rsidTr="00E0657C">
        <w:trPr>
          <w:trHeight w:val="20"/>
          <w:jc w:val="center"/>
        </w:trPr>
        <w:tc>
          <w:tcPr>
            <w:tcW w:w="2512" w:type="dxa"/>
            <w:tcBorders>
              <w:left w:val="nil"/>
              <w:bottom w:val="nil"/>
              <w:right w:val="nil"/>
            </w:tcBorders>
            <w:noWrap/>
            <w:hideMark/>
          </w:tcPr>
          <w:p w14:paraId="5E51C2C7" w14:textId="77777777" w:rsidR="00D0316C" w:rsidRPr="00D0316C" w:rsidRDefault="00D0316C" w:rsidP="00C34DC2">
            <w:r w:rsidRPr="00D0316C">
              <w:rPr>
                <w:bCs/>
              </w:rPr>
              <w:t>hbias</w:t>
            </w:r>
            <w:r w:rsidRPr="00D0316C">
              <w:rPr>
                <w:vertAlign w:val="subscript"/>
              </w:rPr>
              <w:t>2</w:t>
            </w:r>
          </w:p>
        </w:tc>
        <w:tc>
          <w:tcPr>
            <w:tcW w:w="1272" w:type="dxa"/>
            <w:tcBorders>
              <w:left w:val="nil"/>
              <w:bottom w:val="nil"/>
            </w:tcBorders>
            <w:noWrap/>
            <w:hideMark/>
          </w:tcPr>
          <w:p w14:paraId="51785825" w14:textId="77777777" w:rsidR="00D0316C" w:rsidRPr="00D0316C" w:rsidRDefault="0067076B" w:rsidP="00D0316C">
            <w:pPr>
              <w:jc w:val="center"/>
            </w:pPr>
            <w:r>
              <w:t>1.514</w:t>
            </w:r>
          </w:p>
        </w:tc>
        <w:tc>
          <w:tcPr>
            <w:tcW w:w="1318" w:type="dxa"/>
            <w:tcBorders>
              <w:bottom w:val="nil"/>
              <w:right w:val="nil"/>
            </w:tcBorders>
            <w:noWrap/>
            <w:hideMark/>
          </w:tcPr>
          <w:p w14:paraId="64C9AFF8" w14:textId="77777777" w:rsidR="00D0316C" w:rsidRPr="00D0316C" w:rsidRDefault="006051B8" w:rsidP="00C34DC2">
            <w:r w:rsidRPr="006051B8">
              <w:rPr>
                <w:bCs/>
              </w:rPr>
              <w:t>edu</w:t>
            </w:r>
            <w:r w:rsidRPr="006051B8">
              <w:rPr>
                <w:vertAlign w:val="subscript"/>
              </w:rPr>
              <w:t>3</w:t>
            </w:r>
            <w:r w:rsidRPr="006051B8">
              <w:t>*</w:t>
            </w:r>
          </w:p>
        </w:tc>
        <w:tc>
          <w:tcPr>
            <w:tcW w:w="2411" w:type="dxa"/>
            <w:tcBorders>
              <w:left w:val="nil"/>
              <w:bottom w:val="nil"/>
              <w:right w:val="nil"/>
            </w:tcBorders>
            <w:noWrap/>
            <w:hideMark/>
          </w:tcPr>
          <w:p w14:paraId="2C15BDC3" w14:textId="77777777" w:rsidR="00D0316C" w:rsidRPr="00D0316C" w:rsidRDefault="00F00B4C" w:rsidP="00D0316C">
            <w:pPr>
              <w:jc w:val="center"/>
            </w:pPr>
            <w:r>
              <w:rPr>
                <w:lang w:val="en-US"/>
              </w:rPr>
              <w:t xml:space="preserve">   </w:t>
            </w:r>
            <w:r>
              <w:t>5.852</w:t>
            </w:r>
            <w:r w:rsidR="006051B8" w:rsidRPr="006051B8">
              <w:t>*</w:t>
            </w:r>
          </w:p>
        </w:tc>
      </w:tr>
      <w:tr w:rsidR="00D0316C" w:rsidRPr="00D0316C" w14:paraId="3FDBC053" w14:textId="77777777" w:rsidTr="00E0657C">
        <w:trPr>
          <w:trHeight w:val="20"/>
          <w:jc w:val="center"/>
        </w:trPr>
        <w:tc>
          <w:tcPr>
            <w:tcW w:w="2512" w:type="dxa"/>
            <w:tcBorders>
              <w:top w:val="nil"/>
              <w:left w:val="nil"/>
              <w:bottom w:val="single" w:sz="4" w:space="0" w:color="auto"/>
              <w:right w:val="nil"/>
            </w:tcBorders>
            <w:noWrap/>
            <w:hideMark/>
          </w:tcPr>
          <w:p w14:paraId="6B699379" w14:textId="77777777" w:rsidR="00D0316C" w:rsidRPr="00D0316C" w:rsidRDefault="00D0316C" w:rsidP="00C34DC2"/>
        </w:tc>
        <w:tc>
          <w:tcPr>
            <w:tcW w:w="1272" w:type="dxa"/>
            <w:tcBorders>
              <w:top w:val="nil"/>
              <w:left w:val="nil"/>
              <w:bottom w:val="single" w:sz="4" w:space="0" w:color="auto"/>
            </w:tcBorders>
            <w:noWrap/>
            <w:hideMark/>
          </w:tcPr>
          <w:p w14:paraId="29A82D0C" w14:textId="77777777" w:rsidR="00D0316C" w:rsidRPr="0067076B" w:rsidRDefault="0067076B" w:rsidP="00D0316C">
            <w:pPr>
              <w:jc w:val="center"/>
              <w:rPr>
                <w:lang w:val="en-US"/>
              </w:rPr>
            </w:pPr>
            <w:r>
              <w:rPr>
                <w:lang w:val="en-US"/>
              </w:rPr>
              <w:t>(</w:t>
            </w:r>
            <w:r>
              <w:t>1.503</w:t>
            </w:r>
            <w:r>
              <w:rPr>
                <w:lang w:val="en-US"/>
              </w:rPr>
              <w:t>)</w:t>
            </w:r>
          </w:p>
        </w:tc>
        <w:tc>
          <w:tcPr>
            <w:tcW w:w="1318" w:type="dxa"/>
            <w:tcBorders>
              <w:top w:val="nil"/>
              <w:bottom w:val="single" w:sz="4" w:space="0" w:color="auto"/>
              <w:right w:val="nil"/>
            </w:tcBorders>
            <w:noWrap/>
            <w:hideMark/>
          </w:tcPr>
          <w:p w14:paraId="3FE9F23F" w14:textId="77777777" w:rsidR="00D0316C" w:rsidRPr="00D0316C" w:rsidRDefault="00D0316C" w:rsidP="00C34DC2"/>
        </w:tc>
        <w:tc>
          <w:tcPr>
            <w:tcW w:w="2411" w:type="dxa"/>
            <w:tcBorders>
              <w:top w:val="nil"/>
              <w:left w:val="nil"/>
              <w:bottom w:val="single" w:sz="4" w:space="0" w:color="auto"/>
              <w:right w:val="nil"/>
            </w:tcBorders>
            <w:noWrap/>
            <w:hideMark/>
          </w:tcPr>
          <w:p w14:paraId="2FA76397" w14:textId="77777777" w:rsidR="00D0316C" w:rsidRPr="00D0316C" w:rsidRDefault="00F00B4C" w:rsidP="00D0316C">
            <w:pPr>
              <w:jc w:val="center"/>
            </w:pPr>
            <w:r>
              <w:rPr>
                <w:lang w:val="en-US"/>
              </w:rPr>
              <w:t>(</w:t>
            </w:r>
            <w:r>
              <w:t>2.809</w:t>
            </w:r>
            <w:r>
              <w:rPr>
                <w:lang w:val="en-US"/>
              </w:rPr>
              <w:t>)</w:t>
            </w:r>
          </w:p>
        </w:tc>
      </w:tr>
      <w:tr w:rsidR="00FB32F0" w:rsidRPr="00D0316C" w14:paraId="70B3B86F" w14:textId="77777777" w:rsidTr="00E0657C">
        <w:trPr>
          <w:trHeight w:val="20"/>
          <w:jc w:val="center"/>
        </w:trPr>
        <w:tc>
          <w:tcPr>
            <w:tcW w:w="2512" w:type="dxa"/>
            <w:tcBorders>
              <w:left w:val="nil"/>
              <w:bottom w:val="nil"/>
              <w:right w:val="nil"/>
            </w:tcBorders>
            <w:noWrap/>
            <w:hideMark/>
          </w:tcPr>
          <w:p w14:paraId="204679F6" w14:textId="77777777" w:rsidR="00D0316C" w:rsidRPr="00D0316C" w:rsidRDefault="00D0316C" w:rsidP="00C34DC2">
            <w:r w:rsidRPr="00D0316C">
              <w:rPr>
                <w:bCs/>
              </w:rPr>
              <w:t>hbias</w:t>
            </w:r>
            <w:r w:rsidRPr="00D0316C">
              <w:rPr>
                <w:vertAlign w:val="subscript"/>
              </w:rPr>
              <w:t>3</w:t>
            </w:r>
          </w:p>
        </w:tc>
        <w:tc>
          <w:tcPr>
            <w:tcW w:w="1272" w:type="dxa"/>
            <w:tcBorders>
              <w:left w:val="nil"/>
              <w:bottom w:val="nil"/>
            </w:tcBorders>
            <w:noWrap/>
            <w:hideMark/>
          </w:tcPr>
          <w:p w14:paraId="466BCC8D" w14:textId="77777777" w:rsidR="00D0316C" w:rsidRPr="00D0316C" w:rsidRDefault="0067076B" w:rsidP="00D0316C">
            <w:pPr>
              <w:jc w:val="center"/>
            </w:pPr>
            <w:r>
              <w:rPr>
                <w:lang w:val="en-US"/>
              </w:rPr>
              <w:t xml:space="preserve">  </w:t>
            </w:r>
            <w:r>
              <w:t>3.260</w:t>
            </w:r>
            <w:r w:rsidR="00D0316C" w:rsidRPr="00D0316C">
              <w:t>**</w:t>
            </w:r>
          </w:p>
        </w:tc>
        <w:tc>
          <w:tcPr>
            <w:tcW w:w="1318" w:type="dxa"/>
            <w:tcBorders>
              <w:bottom w:val="nil"/>
              <w:right w:val="nil"/>
            </w:tcBorders>
            <w:noWrap/>
            <w:hideMark/>
          </w:tcPr>
          <w:p w14:paraId="1D7835CC" w14:textId="77777777" w:rsidR="00D0316C" w:rsidRPr="00D0316C" w:rsidRDefault="006051B8" w:rsidP="00C34DC2">
            <w:r w:rsidRPr="006051B8">
              <w:rPr>
                <w:bCs/>
              </w:rPr>
              <w:t>edu</w:t>
            </w:r>
            <w:r w:rsidRPr="006051B8">
              <w:rPr>
                <w:vertAlign w:val="subscript"/>
              </w:rPr>
              <w:t>4</w:t>
            </w:r>
            <w:r w:rsidRPr="006051B8">
              <w:t>*</w:t>
            </w:r>
          </w:p>
        </w:tc>
        <w:tc>
          <w:tcPr>
            <w:tcW w:w="2411" w:type="dxa"/>
            <w:tcBorders>
              <w:left w:val="nil"/>
              <w:bottom w:val="nil"/>
              <w:right w:val="nil"/>
            </w:tcBorders>
            <w:noWrap/>
            <w:hideMark/>
          </w:tcPr>
          <w:p w14:paraId="4394135D" w14:textId="77777777" w:rsidR="00D0316C" w:rsidRPr="00D0316C" w:rsidRDefault="00F00B4C" w:rsidP="00D0316C">
            <w:pPr>
              <w:jc w:val="center"/>
            </w:pPr>
            <w:r>
              <w:rPr>
                <w:lang w:val="en-US"/>
              </w:rPr>
              <w:t xml:space="preserve">  </w:t>
            </w:r>
            <w:r>
              <w:t>6.166</w:t>
            </w:r>
            <w:r w:rsidR="006051B8" w:rsidRPr="006051B8">
              <w:t>*</w:t>
            </w:r>
          </w:p>
        </w:tc>
      </w:tr>
      <w:tr w:rsidR="00D0316C" w:rsidRPr="00D0316C" w14:paraId="23036A91" w14:textId="77777777" w:rsidTr="00E0657C">
        <w:trPr>
          <w:trHeight w:val="20"/>
          <w:jc w:val="center"/>
        </w:trPr>
        <w:tc>
          <w:tcPr>
            <w:tcW w:w="2512" w:type="dxa"/>
            <w:tcBorders>
              <w:top w:val="nil"/>
              <w:left w:val="nil"/>
              <w:bottom w:val="single" w:sz="4" w:space="0" w:color="auto"/>
              <w:right w:val="nil"/>
            </w:tcBorders>
            <w:noWrap/>
            <w:hideMark/>
          </w:tcPr>
          <w:p w14:paraId="1F72F646" w14:textId="77777777" w:rsidR="00D0316C" w:rsidRPr="00D0316C" w:rsidRDefault="00D0316C" w:rsidP="00C34DC2"/>
        </w:tc>
        <w:tc>
          <w:tcPr>
            <w:tcW w:w="1272" w:type="dxa"/>
            <w:tcBorders>
              <w:top w:val="nil"/>
              <w:left w:val="nil"/>
              <w:bottom w:val="single" w:sz="4" w:space="0" w:color="auto"/>
            </w:tcBorders>
            <w:noWrap/>
            <w:hideMark/>
          </w:tcPr>
          <w:p w14:paraId="4964D9AF" w14:textId="77777777" w:rsidR="00D0316C" w:rsidRPr="0067076B" w:rsidRDefault="0067076B" w:rsidP="00D0316C">
            <w:pPr>
              <w:jc w:val="center"/>
              <w:rPr>
                <w:lang w:val="en-US"/>
              </w:rPr>
            </w:pPr>
            <w:r>
              <w:rPr>
                <w:lang w:val="en-US"/>
              </w:rPr>
              <w:t>(</w:t>
            </w:r>
            <w:r>
              <w:t>1.904</w:t>
            </w:r>
            <w:r>
              <w:rPr>
                <w:lang w:val="en-US"/>
              </w:rPr>
              <w:t>)</w:t>
            </w:r>
          </w:p>
        </w:tc>
        <w:tc>
          <w:tcPr>
            <w:tcW w:w="1318" w:type="dxa"/>
            <w:tcBorders>
              <w:top w:val="nil"/>
              <w:bottom w:val="single" w:sz="4" w:space="0" w:color="auto"/>
              <w:right w:val="nil"/>
            </w:tcBorders>
            <w:noWrap/>
            <w:hideMark/>
          </w:tcPr>
          <w:p w14:paraId="08CE6F91" w14:textId="77777777" w:rsidR="00D0316C" w:rsidRPr="00193CB7" w:rsidRDefault="00D0316C" w:rsidP="00C34DC2">
            <w:pPr>
              <w:rPr>
                <w:lang w:val="en-US"/>
              </w:rPr>
            </w:pPr>
          </w:p>
        </w:tc>
        <w:tc>
          <w:tcPr>
            <w:tcW w:w="2411" w:type="dxa"/>
            <w:tcBorders>
              <w:top w:val="nil"/>
              <w:left w:val="nil"/>
              <w:bottom w:val="single" w:sz="4" w:space="0" w:color="auto"/>
              <w:right w:val="nil"/>
            </w:tcBorders>
            <w:noWrap/>
            <w:hideMark/>
          </w:tcPr>
          <w:p w14:paraId="0F554177" w14:textId="77777777" w:rsidR="00D0316C" w:rsidRPr="00D0316C" w:rsidRDefault="00F00B4C" w:rsidP="00D0316C">
            <w:pPr>
              <w:jc w:val="center"/>
            </w:pPr>
            <w:r>
              <w:rPr>
                <w:lang w:val="en-US"/>
              </w:rPr>
              <w:t>(</w:t>
            </w:r>
            <w:r>
              <w:t>3.065</w:t>
            </w:r>
            <w:r>
              <w:rPr>
                <w:lang w:val="en-US"/>
              </w:rPr>
              <w:t>)</w:t>
            </w:r>
          </w:p>
        </w:tc>
      </w:tr>
      <w:tr w:rsidR="00FB32F0" w:rsidRPr="00D0316C" w14:paraId="3F34DDB7" w14:textId="77777777" w:rsidTr="00E0657C">
        <w:trPr>
          <w:trHeight w:val="20"/>
          <w:jc w:val="center"/>
        </w:trPr>
        <w:tc>
          <w:tcPr>
            <w:tcW w:w="2512" w:type="dxa"/>
            <w:tcBorders>
              <w:left w:val="nil"/>
              <w:bottom w:val="nil"/>
              <w:right w:val="nil"/>
            </w:tcBorders>
            <w:noWrap/>
            <w:hideMark/>
          </w:tcPr>
          <w:p w14:paraId="747D6BF3" w14:textId="77777777" w:rsidR="00D0316C" w:rsidRPr="00D0316C" w:rsidRDefault="00D0316C" w:rsidP="00C34DC2">
            <w:r w:rsidRPr="00D0316C">
              <w:rPr>
                <w:bCs/>
              </w:rPr>
              <w:t>hbiasot</w:t>
            </w:r>
            <w:r w:rsidRPr="00D0316C">
              <w:rPr>
                <w:vertAlign w:val="subscript"/>
              </w:rPr>
              <w:t>3</w:t>
            </w:r>
          </w:p>
        </w:tc>
        <w:tc>
          <w:tcPr>
            <w:tcW w:w="1272" w:type="dxa"/>
            <w:tcBorders>
              <w:left w:val="nil"/>
              <w:bottom w:val="nil"/>
            </w:tcBorders>
            <w:noWrap/>
            <w:hideMark/>
          </w:tcPr>
          <w:p w14:paraId="40B1E7C6" w14:textId="77777777" w:rsidR="00D0316C" w:rsidRPr="00D0316C" w:rsidRDefault="008C5DCA" w:rsidP="00D0316C">
            <w:pPr>
              <w:jc w:val="center"/>
            </w:pPr>
            <w:r>
              <w:rPr>
                <w:lang w:val="en-US"/>
              </w:rPr>
              <w:t xml:space="preserve"> </w:t>
            </w:r>
            <w:r w:rsidR="004839D8">
              <w:rPr>
                <w:lang w:val="en-US"/>
              </w:rPr>
              <w:t xml:space="preserve"> </w:t>
            </w:r>
            <w:r w:rsidR="004839D8">
              <w:t>-2.725</w:t>
            </w:r>
            <w:r w:rsidR="00D0316C" w:rsidRPr="00D0316C">
              <w:t>**</w:t>
            </w:r>
          </w:p>
        </w:tc>
        <w:tc>
          <w:tcPr>
            <w:tcW w:w="1318" w:type="dxa"/>
            <w:tcBorders>
              <w:bottom w:val="nil"/>
              <w:right w:val="nil"/>
            </w:tcBorders>
            <w:noWrap/>
            <w:hideMark/>
          </w:tcPr>
          <w:p w14:paraId="38FBA30E" w14:textId="77777777" w:rsidR="00D0316C" w:rsidRPr="00D0316C" w:rsidRDefault="006051B8" w:rsidP="00C34DC2">
            <w:r w:rsidRPr="006051B8">
              <w:rPr>
                <w:bCs/>
              </w:rPr>
              <w:t>income</w:t>
            </w:r>
            <w:r w:rsidRPr="006051B8">
              <w:rPr>
                <w:vertAlign w:val="subscript"/>
              </w:rPr>
              <w:t>4</w:t>
            </w:r>
          </w:p>
        </w:tc>
        <w:tc>
          <w:tcPr>
            <w:tcW w:w="2411" w:type="dxa"/>
            <w:tcBorders>
              <w:left w:val="nil"/>
              <w:bottom w:val="nil"/>
              <w:right w:val="nil"/>
            </w:tcBorders>
            <w:noWrap/>
            <w:hideMark/>
          </w:tcPr>
          <w:p w14:paraId="742D827C" w14:textId="77777777" w:rsidR="00D0316C" w:rsidRPr="00D0316C" w:rsidRDefault="00F00B4C" w:rsidP="00F00B4C">
            <w:r>
              <w:rPr>
                <w:lang w:val="en-US"/>
              </w:rPr>
              <w:t xml:space="preserve">   </w:t>
            </w:r>
            <w:r w:rsidR="00FB32F0">
              <w:rPr>
                <w:lang w:val="en-US"/>
              </w:rPr>
              <w:t xml:space="preserve">            </w:t>
            </w:r>
            <w:r>
              <w:t>-1.068</w:t>
            </w:r>
          </w:p>
        </w:tc>
      </w:tr>
      <w:tr w:rsidR="00D0316C" w:rsidRPr="00D0316C" w14:paraId="1B82B948" w14:textId="77777777" w:rsidTr="00E0657C">
        <w:trPr>
          <w:trHeight w:val="20"/>
          <w:jc w:val="center"/>
        </w:trPr>
        <w:tc>
          <w:tcPr>
            <w:tcW w:w="2512" w:type="dxa"/>
            <w:tcBorders>
              <w:top w:val="nil"/>
              <w:left w:val="nil"/>
              <w:bottom w:val="single" w:sz="4" w:space="0" w:color="auto"/>
              <w:right w:val="nil"/>
            </w:tcBorders>
            <w:noWrap/>
            <w:hideMark/>
          </w:tcPr>
          <w:p w14:paraId="61CDCEAD" w14:textId="77777777" w:rsidR="00D0316C" w:rsidRPr="00D0316C" w:rsidRDefault="00D0316C" w:rsidP="00C34DC2"/>
        </w:tc>
        <w:tc>
          <w:tcPr>
            <w:tcW w:w="1272" w:type="dxa"/>
            <w:tcBorders>
              <w:top w:val="nil"/>
              <w:left w:val="nil"/>
              <w:bottom w:val="single" w:sz="4" w:space="0" w:color="auto"/>
            </w:tcBorders>
            <w:noWrap/>
            <w:hideMark/>
          </w:tcPr>
          <w:p w14:paraId="062672E6" w14:textId="77777777" w:rsidR="00D0316C" w:rsidRPr="004839D8" w:rsidRDefault="004839D8" w:rsidP="00D0316C">
            <w:pPr>
              <w:jc w:val="center"/>
              <w:rPr>
                <w:lang w:val="en-US"/>
              </w:rPr>
            </w:pPr>
            <w:r>
              <w:rPr>
                <w:lang w:val="en-US"/>
              </w:rPr>
              <w:t>(</w:t>
            </w:r>
            <w:r>
              <w:t>1.491</w:t>
            </w:r>
            <w:r>
              <w:rPr>
                <w:lang w:val="en-US"/>
              </w:rPr>
              <w:t>)</w:t>
            </w:r>
          </w:p>
        </w:tc>
        <w:tc>
          <w:tcPr>
            <w:tcW w:w="1318" w:type="dxa"/>
            <w:tcBorders>
              <w:top w:val="nil"/>
              <w:bottom w:val="single" w:sz="4" w:space="0" w:color="auto"/>
              <w:right w:val="nil"/>
            </w:tcBorders>
            <w:noWrap/>
            <w:hideMark/>
          </w:tcPr>
          <w:p w14:paraId="6BB9E253" w14:textId="77777777" w:rsidR="00D0316C" w:rsidRPr="00D0316C" w:rsidRDefault="00D0316C" w:rsidP="00C34DC2"/>
        </w:tc>
        <w:tc>
          <w:tcPr>
            <w:tcW w:w="2411" w:type="dxa"/>
            <w:tcBorders>
              <w:top w:val="nil"/>
              <w:left w:val="nil"/>
              <w:bottom w:val="single" w:sz="4" w:space="0" w:color="auto"/>
              <w:right w:val="nil"/>
            </w:tcBorders>
            <w:noWrap/>
            <w:hideMark/>
          </w:tcPr>
          <w:p w14:paraId="63E07356" w14:textId="77777777" w:rsidR="00D0316C" w:rsidRPr="00D0316C" w:rsidRDefault="00F00B4C" w:rsidP="00D0316C">
            <w:pPr>
              <w:jc w:val="center"/>
            </w:pPr>
            <w:r>
              <w:rPr>
                <w:lang w:val="en-US"/>
              </w:rPr>
              <w:t>(</w:t>
            </w:r>
            <w:r>
              <w:t>1.722</w:t>
            </w:r>
            <w:r>
              <w:rPr>
                <w:lang w:val="en-US"/>
              </w:rPr>
              <w:t>)</w:t>
            </w:r>
          </w:p>
        </w:tc>
      </w:tr>
      <w:tr w:rsidR="00FB32F0" w:rsidRPr="00D0316C" w14:paraId="03C1FEDC" w14:textId="77777777" w:rsidTr="00E0657C">
        <w:trPr>
          <w:trHeight w:val="20"/>
          <w:jc w:val="center"/>
        </w:trPr>
        <w:tc>
          <w:tcPr>
            <w:tcW w:w="2512" w:type="dxa"/>
            <w:tcBorders>
              <w:left w:val="nil"/>
              <w:bottom w:val="nil"/>
              <w:right w:val="nil"/>
            </w:tcBorders>
            <w:noWrap/>
            <w:hideMark/>
          </w:tcPr>
          <w:p w14:paraId="51C5F1EB" w14:textId="77777777" w:rsidR="00D0316C" w:rsidRPr="00D0316C" w:rsidRDefault="00D0316C" w:rsidP="00C34DC2">
            <w:r w:rsidRPr="00D0316C">
              <w:rPr>
                <w:bCs/>
              </w:rPr>
              <w:t>hbiasot</w:t>
            </w:r>
            <w:r w:rsidRPr="00D0316C">
              <w:rPr>
                <w:vertAlign w:val="subscript"/>
              </w:rPr>
              <w:t>4</w:t>
            </w:r>
            <w:r w:rsidRPr="00D0316C">
              <w:t>*</w:t>
            </w:r>
          </w:p>
        </w:tc>
        <w:tc>
          <w:tcPr>
            <w:tcW w:w="1272" w:type="dxa"/>
            <w:tcBorders>
              <w:left w:val="nil"/>
              <w:bottom w:val="nil"/>
            </w:tcBorders>
            <w:noWrap/>
            <w:hideMark/>
          </w:tcPr>
          <w:p w14:paraId="63FEB60A" w14:textId="77777777" w:rsidR="00D0316C" w:rsidRPr="00D0316C" w:rsidRDefault="008C5DCA" w:rsidP="00D0316C">
            <w:pPr>
              <w:jc w:val="center"/>
            </w:pPr>
            <w:r>
              <w:t>-5.727</w:t>
            </w:r>
            <w:r w:rsidR="00D0316C" w:rsidRPr="00D0316C">
              <w:t>*</w:t>
            </w:r>
          </w:p>
        </w:tc>
        <w:tc>
          <w:tcPr>
            <w:tcW w:w="1318" w:type="dxa"/>
            <w:tcBorders>
              <w:bottom w:val="nil"/>
              <w:right w:val="nil"/>
            </w:tcBorders>
            <w:noWrap/>
            <w:hideMark/>
          </w:tcPr>
          <w:p w14:paraId="0B9A17DF" w14:textId="77777777" w:rsidR="00D0316C" w:rsidRPr="00D0316C" w:rsidRDefault="006051B8" w:rsidP="00C34DC2">
            <w:r w:rsidRPr="006051B8">
              <w:rPr>
                <w:bCs/>
              </w:rPr>
              <w:t>income</w:t>
            </w:r>
            <w:r w:rsidRPr="006051B8">
              <w:rPr>
                <w:vertAlign w:val="subscript"/>
              </w:rPr>
              <w:t>5</w:t>
            </w:r>
          </w:p>
        </w:tc>
        <w:tc>
          <w:tcPr>
            <w:tcW w:w="2411" w:type="dxa"/>
            <w:tcBorders>
              <w:left w:val="nil"/>
              <w:bottom w:val="nil"/>
              <w:right w:val="nil"/>
            </w:tcBorders>
            <w:noWrap/>
            <w:hideMark/>
          </w:tcPr>
          <w:p w14:paraId="2E5AE1EE" w14:textId="77777777" w:rsidR="00D0316C" w:rsidRPr="00D0316C" w:rsidRDefault="00285720" w:rsidP="00285720">
            <w:r>
              <w:rPr>
                <w:lang w:val="en-US"/>
              </w:rPr>
              <w:t xml:space="preserve">   </w:t>
            </w:r>
            <w:r w:rsidR="00FB32F0">
              <w:rPr>
                <w:lang w:val="en-US"/>
              </w:rPr>
              <w:t xml:space="preserve">            </w:t>
            </w:r>
            <w:r>
              <w:t>-2.549</w:t>
            </w:r>
          </w:p>
        </w:tc>
      </w:tr>
      <w:tr w:rsidR="00D0316C" w:rsidRPr="00D0316C" w14:paraId="2A5E1AFB" w14:textId="77777777" w:rsidTr="00E0657C">
        <w:trPr>
          <w:trHeight w:val="20"/>
          <w:jc w:val="center"/>
        </w:trPr>
        <w:tc>
          <w:tcPr>
            <w:tcW w:w="2512" w:type="dxa"/>
            <w:tcBorders>
              <w:top w:val="nil"/>
              <w:left w:val="nil"/>
              <w:bottom w:val="single" w:sz="4" w:space="0" w:color="auto"/>
              <w:right w:val="nil"/>
            </w:tcBorders>
            <w:noWrap/>
            <w:hideMark/>
          </w:tcPr>
          <w:p w14:paraId="23DE523C" w14:textId="77777777" w:rsidR="00D0316C" w:rsidRPr="00D0316C" w:rsidRDefault="00D0316C" w:rsidP="00C34DC2"/>
        </w:tc>
        <w:tc>
          <w:tcPr>
            <w:tcW w:w="1272" w:type="dxa"/>
            <w:tcBorders>
              <w:top w:val="nil"/>
              <w:left w:val="nil"/>
              <w:bottom w:val="single" w:sz="4" w:space="0" w:color="auto"/>
            </w:tcBorders>
            <w:noWrap/>
            <w:hideMark/>
          </w:tcPr>
          <w:p w14:paraId="66B34EB0" w14:textId="77777777" w:rsidR="00D0316C" w:rsidRPr="008C5DCA" w:rsidRDefault="008C5DCA" w:rsidP="00D0316C">
            <w:pPr>
              <w:jc w:val="center"/>
              <w:rPr>
                <w:lang w:val="en-US"/>
              </w:rPr>
            </w:pPr>
            <w:r>
              <w:rPr>
                <w:lang w:val="en-US"/>
              </w:rPr>
              <w:t>(</w:t>
            </w:r>
            <w:r>
              <w:t>1.499</w:t>
            </w:r>
            <w:r>
              <w:rPr>
                <w:lang w:val="en-US"/>
              </w:rPr>
              <w:t>)</w:t>
            </w:r>
          </w:p>
        </w:tc>
        <w:tc>
          <w:tcPr>
            <w:tcW w:w="1318" w:type="dxa"/>
            <w:tcBorders>
              <w:top w:val="nil"/>
              <w:bottom w:val="single" w:sz="4" w:space="0" w:color="auto"/>
              <w:right w:val="nil"/>
            </w:tcBorders>
            <w:noWrap/>
            <w:hideMark/>
          </w:tcPr>
          <w:p w14:paraId="52E56223" w14:textId="77777777" w:rsidR="00D0316C" w:rsidRPr="00D0316C" w:rsidRDefault="00D0316C" w:rsidP="00C34DC2"/>
        </w:tc>
        <w:tc>
          <w:tcPr>
            <w:tcW w:w="2411" w:type="dxa"/>
            <w:tcBorders>
              <w:top w:val="nil"/>
              <w:left w:val="nil"/>
              <w:bottom w:val="single" w:sz="4" w:space="0" w:color="auto"/>
              <w:right w:val="nil"/>
            </w:tcBorders>
            <w:noWrap/>
            <w:hideMark/>
          </w:tcPr>
          <w:p w14:paraId="08AC9E82" w14:textId="77777777" w:rsidR="00D0316C" w:rsidRPr="00D0316C" w:rsidRDefault="00285720" w:rsidP="00D0316C">
            <w:pPr>
              <w:jc w:val="center"/>
            </w:pPr>
            <w:r>
              <w:rPr>
                <w:lang w:val="en-US"/>
              </w:rPr>
              <w:t>(</w:t>
            </w:r>
            <w:r>
              <w:t>1.870</w:t>
            </w:r>
            <w:r>
              <w:rPr>
                <w:lang w:val="en-US"/>
              </w:rPr>
              <w:t>)</w:t>
            </w:r>
          </w:p>
        </w:tc>
      </w:tr>
      <w:tr w:rsidR="00FB32F0" w:rsidRPr="00D0316C" w14:paraId="6E037B23" w14:textId="77777777" w:rsidTr="00E0657C">
        <w:trPr>
          <w:trHeight w:val="20"/>
          <w:jc w:val="center"/>
        </w:trPr>
        <w:tc>
          <w:tcPr>
            <w:tcW w:w="2512" w:type="dxa"/>
            <w:tcBorders>
              <w:left w:val="nil"/>
              <w:bottom w:val="nil"/>
              <w:right w:val="nil"/>
            </w:tcBorders>
            <w:noWrap/>
            <w:hideMark/>
          </w:tcPr>
          <w:p w14:paraId="4E26D13C" w14:textId="77777777" w:rsidR="00D0316C" w:rsidRPr="00D0316C" w:rsidRDefault="00D0316C" w:rsidP="00C34DC2">
            <w:proofErr w:type="spellStart"/>
            <w:r w:rsidRPr="00D0316C">
              <w:rPr>
                <w:bCs/>
              </w:rPr>
              <w:t>sunesp</w:t>
            </w:r>
            <w:proofErr w:type="spellEnd"/>
          </w:p>
        </w:tc>
        <w:tc>
          <w:tcPr>
            <w:tcW w:w="1272" w:type="dxa"/>
            <w:tcBorders>
              <w:left w:val="nil"/>
              <w:bottom w:val="nil"/>
            </w:tcBorders>
            <w:noWrap/>
            <w:hideMark/>
          </w:tcPr>
          <w:p w14:paraId="5F9BA352" w14:textId="77777777" w:rsidR="00D0316C" w:rsidRPr="00D0316C" w:rsidRDefault="00F84491" w:rsidP="00F84491">
            <w:r>
              <w:rPr>
                <w:lang w:val="en-US"/>
              </w:rPr>
              <w:t xml:space="preserve">    </w:t>
            </w:r>
            <w:r>
              <w:t>-0.028</w:t>
            </w:r>
          </w:p>
        </w:tc>
        <w:tc>
          <w:tcPr>
            <w:tcW w:w="1318" w:type="dxa"/>
            <w:tcBorders>
              <w:bottom w:val="nil"/>
              <w:right w:val="nil"/>
            </w:tcBorders>
            <w:noWrap/>
            <w:hideMark/>
          </w:tcPr>
          <w:p w14:paraId="65107CBC" w14:textId="77777777" w:rsidR="00D0316C" w:rsidRPr="00D0316C" w:rsidRDefault="006051B8" w:rsidP="00C34DC2">
            <w:r w:rsidRPr="006051B8">
              <w:rPr>
                <w:bCs/>
              </w:rPr>
              <w:t>income</w:t>
            </w:r>
            <w:r w:rsidRPr="006051B8">
              <w:rPr>
                <w:vertAlign w:val="subscript"/>
              </w:rPr>
              <w:t>6</w:t>
            </w:r>
          </w:p>
        </w:tc>
        <w:tc>
          <w:tcPr>
            <w:tcW w:w="2411" w:type="dxa"/>
            <w:tcBorders>
              <w:left w:val="nil"/>
              <w:bottom w:val="nil"/>
              <w:right w:val="nil"/>
            </w:tcBorders>
            <w:noWrap/>
            <w:hideMark/>
          </w:tcPr>
          <w:p w14:paraId="01CC734D" w14:textId="77777777" w:rsidR="00D0316C" w:rsidRPr="00D0316C" w:rsidRDefault="00285720" w:rsidP="00285720">
            <w:r>
              <w:rPr>
                <w:lang w:val="en-US"/>
              </w:rPr>
              <w:t xml:space="preserve">   </w:t>
            </w:r>
            <w:r w:rsidR="00FB32F0">
              <w:rPr>
                <w:lang w:val="en-US"/>
              </w:rPr>
              <w:t xml:space="preserve">            </w:t>
            </w:r>
            <w:r>
              <w:t>-1.675</w:t>
            </w:r>
          </w:p>
        </w:tc>
      </w:tr>
      <w:tr w:rsidR="00D0316C" w:rsidRPr="00D0316C" w14:paraId="03DD8AFA" w14:textId="77777777" w:rsidTr="00E0657C">
        <w:trPr>
          <w:trHeight w:val="20"/>
          <w:jc w:val="center"/>
        </w:trPr>
        <w:tc>
          <w:tcPr>
            <w:tcW w:w="2512" w:type="dxa"/>
            <w:tcBorders>
              <w:top w:val="nil"/>
              <w:left w:val="nil"/>
              <w:bottom w:val="single" w:sz="4" w:space="0" w:color="auto"/>
              <w:right w:val="nil"/>
            </w:tcBorders>
            <w:noWrap/>
            <w:hideMark/>
          </w:tcPr>
          <w:p w14:paraId="07547A01" w14:textId="77777777" w:rsidR="00D0316C" w:rsidRPr="00D0316C" w:rsidRDefault="00D0316C" w:rsidP="00C34DC2"/>
        </w:tc>
        <w:tc>
          <w:tcPr>
            <w:tcW w:w="1272" w:type="dxa"/>
            <w:tcBorders>
              <w:top w:val="nil"/>
              <w:left w:val="nil"/>
              <w:bottom w:val="single" w:sz="4" w:space="0" w:color="auto"/>
            </w:tcBorders>
            <w:noWrap/>
            <w:hideMark/>
          </w:tcPr>
          <w:p w14:paraId="00B29DFD" w14:textId="77777777" w:rsidR="00D0316C" w:rsidRPr="00F84491" w:rsidRDefault="00F84491" w:rsidP="00D0316C">
            <w:pPr>
              <w:jc w:val="center"/>
              <w:rPr>
                <w:lang w:val="en-US"/>
              </w:rPr>
            </w:pPr>
            <w:r>
              <w:rPr>
                <w:lang w:val="en-US"/>
              </w:rPr>
              <w:t>(</w:t>
            </w:r>
            <w:r>
              <w:t>0.048</w:t>
            </w:r>
            <w:r>
              <w:rPr>
                <w:lang w:val="en-US"/>
              </w:rPr>
              <w:t>)</w:t>
            </w:r>
          </w:p>
        </w:tc>
        <w:tc>
          <w:tcPr>
            <w:tcW w:w="1318" w:type="dxa"/>
            <w:tcBorders>
              <w:top w:val="nil"/>
              <w:bottom w:val="single" w:sz="4" w:space="0" w:color="auto"/>
              <w:right w:val="nil"/>
            </w:tcBorders>
            <w:noWrap/>
            <w:hideMark/>
          </w:tcPr>
          <w:p w14:paraId="5043CB0F" w14:textId="77777777" w:rsidR="00D0316C" w:rsidRPr="00D0316C" w:rsidRDefault="00D0316C" w:rsidP="00C34DC2"/>
        </w:tc>
        <w:tc>
          <w:tcPr>
            <w:tcW w:w="2411" w:type="dxa"/>
            <w:tcBorders>
              <w:top w:val="nil"/>
              <w:left w:val="nil"/>
              <w:bottom w:val="single" w:sz="4" w:space="0" w:color="auto"/>
              <w:right w:val="nil"/>
            </w:tcBorders>
            <w:noWrap/>
            <w:hideMark/>
          </w:tcPr>
          <w:p w14:paraId="686CEC49" w14:textId="77777777" w:rsidR="00D0316C" w:rsidRPr="00D0316C" w:rsidRDefault="00285720" w:rsidP="00D0316C">
            <w:pPr>
              <w:jc w:val="center"/>
            </w:pPr>
            <w:r>
              <w:rPr>
                <w:lang w:val="en-US"/>
              </w:rPr>
              <w:t>(</w:t>
            </w:r>
            <w:r>
              <w:t>1.896</w:t>
            </w:r>
            <w:r>
              <w:rPr>
                <w:lang w:val="en-US"/>
              </w:rPr>
              <w:t>)</w:t>
            </w:r>
          </w:p>
        </w:tc>
      </w:tr>
      <w:tr w:rsidR="00FB32F0" w:rsidRPr="00D0316C" w14:paraId="13D2DE4F" w14:textId="77777777" w:rsidTr="00E0657C">
        <w:trPr>
          <w:trHeight w:val="20"/>
          <w:jc w:val="center"/>
        </w:trPr>
        <w:tc>
          <w:tcPr>
            <w:tcW w:w="2512" w:type="dxa"/>
            <w:tcBorders>
              <w:left w:val="nil"/>
              <w:bottom w:val="nil"/>
              <w:right w:val="nil"/>
            </w:tcBorders>
            <w:noWrap/>
            <w:hideMark/>
          </w:tcPr>
          <w:p w14:paraId="57E1FD32" w14:textId="77777777" w:rsidR="00D0316C" w:rsidRPr="00D0316C" w:rsidRDefault="00D0316C" w:rsidP="00C34DC2">
            <w:proofErr w:type="spellStart"/>
            <w:r w:rsidRPr="00D0316C">
              <w:rPr>
                <w:bCs/>
              </w:rPr>
              <w:t>sunpur</w:t>
            </w:r>
            <w:proofErr w:type="spellEnd"/>
          </w:p>
        </w:tc>
        <w:tc>
          <w:tcPr>
            <w:tcW w:w="1272" w:type="dxa"/>
            <w:tcBorders>
              <w:left w:val="nil"/>
              <w:bottom w:val="nil"/>
            </w:tcBorders>
            <w:noWrap/>
            <w:hideMark/>
          </w:tcPr>
          <w:p w14:paraId="56BF9E7D" w14:textId="77777777" w:rsidR="00D0316C" w:rsidRPr="00D0316C" w:rsidRDefault="00C01BA5" w:rsidP="00C01BA5">
            <w:r>
              <w:rPr>
                <w:lang w:val="en-US"/>
              </w:rPr>
              <w:t xml:space="preserve">    </w:t>
            </w:r>
            <w:r>
              <w:t>-0.074</w:t>
            </w:r>
          </w:p>
        </w:tc>
        <w:tc>
          <w:tcPr>
            <w:tcW w:w="1318" w:type="dxa"/>
            <w:tcBorders>
              <w:bottom w:val="nil"/>
              <w:right w:val="nil"/>
            </w:tcBorders>
            <w:noWrap/>
            <w:hideMark/>
          </w:tcPr>
          <w:p w14:paraId="69A8C12C" w14:textId="77777777" w:rsidR="00D0316C" w:rsidRPr="00D0316C" w:rsidRDefault="006051B8" w:rsidP="00C34DC2">
            <w:r w:rsidRPr="006051B8">
              <w:rPr>
                <w:bCs/>
              </w:rPr>
              <w:t>susk</w:t>
            </w:r>
            <w:r w:rsidRPr="006051B8">
              <w:rPr>
                <w:vertAlign w:val="subscript"/>
              </w:rPr>
              <w:t>3</w:t>
            </w:r>
            <w:r w:rsidRPr="006051B8">
              <w:t>*</w:t>
            </w:r>
          </w:p>
        </w:tc>
        <w:tc>
          <w:tcPr>
            <w:tcW w:w="2411" w:type="dxa"/>
            <w:tcBorders>
              <w:left w:val="nil"/>
              <w:bottom w:val="nil"/>
              <w:right w:val="nil"/>
            </w:tcBorders>
            <w:noWrap/>
            <w:hideMark/>
          </w:tcPr>
          <w:p w14:paraId="50001B6B" w14:textId="77777777" w:rsidR="00D0316C" w:rsidRPr="00D0316C" w:rsidRDefault="00193CB7" w:rsidP="00D0316C">
            <w:pPr>
              <w:jc w:val="center"/>
            </w:pPr>
            <w:r>
              <w:rPr>
                <w:lang w:val="en-US"/>
              </w:rPr>
              <w:t xml:space="preserve"> </w:t>
            </w:r>
            <w:r w:rsidR="00285720">
              <w:t>13.200</w:t>
            </w:r>
            <w:r w:rsidR="00205F45" w:rsidRPr="00205F45">
              <w:t>*</w:t>
            </w:r>
          </w:p>
        </w:tc>
      </w:tr>
      <w:tr w:rsidR="00D0316C" w:rsidRPr="00D0316C" w14:paraId="057809A0" w14:textId="77777777" w:rsidTr="00E0657C">
        <w:trPr>
          <w:trHeight w:val="20"/>
          <w:jc w:val="center"/>
        </w:trPr>
        <w:tc>
          <w:tcPr>
            <w:tcW w:w="2512" w:type="dxa"/>
            <w:tcBorders>
              <w:top w:val="nil"/>
              <w:left w:val="nil"/>
              <w:bottom w:val="single" w:sz="4" w:space="0" w:color="auto"/>
              <w:right w:val="nil"/>
            </w:tcBorders>
            <w:noWrap/>
            <w:hideMark/>
          </w:tcPr>
          <w:p w14:paraId="07459315" w14:textId="77777777" w:rsidR="00D0316C" w:rsidRPr="00D0316C" w:rsidRDefault="00D0316C" w:rsidP="00C34DC2"/>
        </w:tc>
        <w:tc>
          <w:tcPr>
            <w:tcW w:w="1272" w:type="dxa"/>
            <w:tcBorders>
              <w:top w:val="nil"/>
              <w:left w:val="nil"/>
              <w:bottom w:val="single" w:sz="4" w:space="0" w:color="auto"/>
            </w:tcBorders>
            <w:noWrap/>
            <w:hideMark/>
          </w:tcPr>
          <w:p w14:paraId="34A594D4" w14:textId="77777777" w:rsidR="00D0316C" w:rsidRPr="00C01BA5" w:rsidRDefault="00C01BA5" w:rsidP="00D0316C">
            <w:pPr>
              <w:jc w:val="center"/>
              <w:rPr>
                <w:lang w:val="en-US"/>
              </w:rPr>
            </w:pPr>
            <w:r>
              <w:rPr>
                <w:lang w:val="en-US"/>
              </w:rPr>
              <w:t>(</w:t>
            </w:r>
            <w:r>
              <w:t>0.061</w:t>
            </w:r>
            <w:r>
              <w:rPr>
                <w:lang w:val="en-US"/>
              </w:rPr>
              <w:t>)</w:t>
            </w:r>
          </w:p>
        </w:tc>
        <w:tc>
          <w:tcPr>
            <w:tcW w:w="1318" w:type="dxa"/>
            <w:tcBorders>
              <w:top w:val="nil"/>
              <w:bottom w:val="single" w:sz="4" w:space="0" w:color="auto"/>
              <w:right w:val="nil"/>
            </w:tcBorders>
            <w:noWrap/>
            <w:hideMark/>
          </w:tcPr>
          <w:p w14:paraId="6537F28F" w14:textId="77777777" w:rsidR="00D0316C" w:rsidRPr="00D0316C" w:rsidRDefault="00D0316C" w:rsidP="00C34DC2"/>
        </w:tc>
        <w:tc>
          <w:tcPr>
            <w:tcW w:w="2411" w:type="dxa"/>
            <w:tcBorders>
              <w:top w:val="nil"/>
              <w:left w:val="nil"/>
              <w:bottom w:val="single" w:sz="4" w:space="0" w:color="auto"/>
              <w:right w:val="nil"/>
            </w:tcBorders>
            <w:noWrap/>
            <w:hideMark/>
          </w:tcPr>
          <w:p w14:paraId="1D09758D" w14:textId="77777777" w:rsidR="00D0316C" w:rsidRPr="00D0316C" w:rsidRDefault="00285720" w:rsidP="00D0316C">
            <w:pPr>
              <w:jc w:val="center"/>
            </w:pPr>
            <w:r>
              <w:rPr>
                <w:lang w:val="en-US"/>
              </w:rPr>
              <w:t>(</w:t>
            </w:r>
            <w:r>
              <w:t>4.382</w:t>
            </w:r>
            <w:r>
              <w:rPr>
                <w:lang w:val="en-US"/>
              </w:rPr>
              <w:t>)</w:t>
            </w:r>
          </w:p>
        </w:tc>
      </w:tr>
      <w:tr w:rsidR="00FB32F0" w:rsidRPr="00D0316C" w14:paraId="2D09009D" w14:textId="77777777" w:rsidTr="00E0657C">
        <w:trPr>
          <w:trHeight w:val="20"/>
          <w:jc w:val="center"/>
        </w:trPr>
        <w:tc>
          <w:tcPr>
            <w:tcW w:w="2512" w:type="dxa"/>
            <w:tcBorders>
              <w:left w:val="nil"/>
              <w:bottom w:val="nil"/>
              <w:right w:val="nil"/>
            </w:tcBorders>
            <w:noWrap/>
            <w:hideMark/>
          </w:tcPr>
          <w:p w14:paraId="2FE03D61" w14:textId="77777777" w:rsidR="00D0316C" w:rsidRPr="00D0316C" w:rsidRDefault="00D0316C" w:rsidP="00C34DC2">
            <w:proofErr w:type="spellStart"/>
            <w:r w:rsidRPr="00D0316C">
              <w:rPr>
                <w:bCs/>
              </w:rPr>
              <w:t>kt</w:t>
            </w:r>
            <w:proofErr w:type="spellEnd"/>
            <w:r w:rsidRPr="00D0316C">
              <w:rPr>
                <w:bCs/>
              </w:rPr>
              <w:t>*</w:t>
            </w:r>
          </w:p>
        </w:tc>
        <w:tc>
          <w:tcPr>
            <w:tcW w:w="1272" w:type="dxa"/>
            <w:tcBorders>
              <w:left w:val="nil"/>
              <w:bottom w:val="nil"/>
            </w:tcBorders>
            <w:noWrap/>
            <w:hideMark/>
          </w:tcPr>
          <w:p w14:paraId="0D78174C" w14:textId="77777777" w:rsidR="00D0316C" w:rsidRPr="00D0316C" w:rsidRDefault="00C01BA5" w:rsidP="00D0316C">
            <w:pPr>
              <w:jc w:val="center"/>
            </w:pPr>
            <w:r>
              <w:rPr>
                <w:lang w:val="en-US"/>
              </w:rPr>
              <w:t xml:space="preserve">  </w:t>
            </w:r>
            <w:r>
              <w:t>0.128</w:t>
            </w:r>
            <w:r w:rsidR="00D0316C" w:rsidRPr="00D0316C">
              <w:t>*</w:t>
            </w:r>
          </w:p>
        </w:tc>
        <w:tc>
          <w:tcPr>
            <w:tcW w:w="1318" w:type="dxa"/>
            <w:tcBorders>
              <w:bottom w:val="nil"/>
              <w:right w:val="nil"/>
            </w:tcBorders>
            <w:noWrap/>
            <w:hideMark/>
          </w:tcPr>
          <w:p w14:paraId="4B8895D3" w14:textId="77777777" w:rsidR="00D0316C" w:rsidRPr="00D0316C" w:rsidRDefault="00205F45" w:rsidP="00C34DC2">
            <w:r w:rsidRPr="00205F45">
              <w:rPr>
                <w:bCs/>
                <w:lang w:val="en-US"/>
              </w:rPr>
              <w:t>susk</w:t>
            </w:r>
            <w:r w:rsidRPr="00205F45">
              <w:rPr>
                <w:vertAlign w:val="subscript"/>
                <w:lang w:val="en-US"/>
              </w:rPr>
              <w:t>4</w:t>
            </w:r>
          </w:p>
        </w:tc>
        <w:tc>
          <w:tcPr>
            <w:tcW w:w="2411" w:type="dxa"/>
            <w:tcBorders>
              <w:left w:val="nil"/>
              <w:bottom w:val="nil"/>
              <w:right w:val="nil"/>
            </w:tcBorders>
            <w:noWrap/>
            <w:hideMark/>
          </w:tcPr>
          <w:p w14:paraId="11873B4B" w14:textId="77777777" w:rsidR="00D0316C" w:rsidRPr="00D0316C" w:rsidRDefault="00285720" w:rsidP="00285720">
            <w:r>
              <w:rPr>
                <w:lang w:val="en-US"/>
              </w:rPr>
              <w:t xml:space="preserve">   </w:t>
            </w:r>
            <w:r w:rsidR="00FB32F0">
              <w:rPr>
                <w:lang w:val="en-US"/>
              </w:rPr>
              <w:t xml:space="preserve">            </w:t>
            </w:r>
            <w:r>
              <w:t>-0.988</w:t>
            </w:r>
          </w:p>
        </w:tc>
      </w:tr>
      <w:tr w:rsidR="00D0316C" w:rsidRPr="00D0316C" w14:paraId="6F71C142" w14:textId="77777777" w:rsidTr="00E0657C">
        <w:trPr>
          <w:trHeight w:val="20"/>
          <w:jc w:val="center"/>
        </w:trPr>
        <w:tc>
          <w:tcPr>
            <w:tcW w:w="2512" w:type="dxa"/>
            <w:tcBorders>
              <w:top w:val="nil"/>
              <w:left w:val="nil"/>
              <w:bottom w:val="single" w:sz="4" w:space="0" w:color="auto"/>
              <w:right w:val="nil"/>
            </w:tcBorders>
            <w:noWrap/>
            <w:hideMark/>
          </w:tcPr>
          <w:p w14:paraId="6DFB9E20" w14:textId="77777777" w:rsidR="00D0316C" w:rsidRPr="00D0316C" w:rsidRDefault="00D0316C" w:rsidP="00C34DC2"/>
        </w:tc>
        <w:tc>
          <w:tcPr>
            <w:tcW w:w="1272" w:type="dxa"/>
            <w:tcBorders>
              <w:top w:val="nil"/>
              <w:left w:val="nil"/>
              <w:bottom w:val="single" w:sz="4" w:space="0" w:color="auto"/>
            </w:tcBorders>
            <w:noWrap/>
            <w:hideMark/>
          </w:tcPr>
          <w:p w14:paraId="4BF017EB" w14:textId="77777777" w:rsidR="00D0316C" w:rsidRPr="00C01BA5" w:rsidRDefault="00C01BA5" w:rsidP="00D0316C">
            <w:pPr>
              <w:jc w:val="center"/>
              <w:rPr>
                <w:lang w:val="en-US"/>
              </w:rPr>
            </w:pPr>
            <w:r>
              <w:rPr>
                <w:lang w:val="en-US"/>
              </w:rPr>
              <w:t>(</w:t>
            </w:r>
            <w:r>
              <w:t>0.059</w:t>
            </w:r>
            <w:r>
              <w:rPr>
                <w:lang w:val="en-US"/>
              </w:rPr>
              <w:t>)</w:t>
            </w:r>
          </w:p>
        </w:tc>
        <w:tc>
          <w:tcPr>
            <w:tcW w:w="1318" w:type="dxa"/>
            <w:tcBorders>
              <w:top w:val="nil"/>
              <w:bottom w:val="single" w:sz="4" w:space="0" w:color="auto"/>
              <w:right w:val="nil"/>
            </w:tcBorders>
            <w:noWrap/>
            <w:hideMark/>
          </w:tcPr>
          <w:p w14:paraId="70DF9E56" w14:textId="77777777" w:rsidR="00D0316C" w:rsidRPr="00D0316C" w:rsidRDefault="00D0316C" w:rsidP="00C34DC2"/>
        </w:tc>
        <w:tc>
          <w:tcPr>
            <w:tcW w:w="2411" w:type="dxa"/>
            <w:tcBorders>
              <w:top w:val="nil"/>
              <w:left w:val="nil"/>
              <w:bottom w:val="single" w:sz="4" w:space="0" w:color="auto"/>
              <w:right w:val="nil"/>
            </w:tcBorders>
            <w:noWrap/>
            <w:hideMark/>
          </w:tcPr>
          <w:p w14:paraId="731B3258" w14:textId="77777777" w:rsidR="00D0316C" w:rsidRPr="00D0316C" w:rsidRDefault="00285720" w:rsidP="00D0316C">
            <w:pPr>
              <w:jc w:val="center"/>
            </w:pPr>
            <w:r>
              <w:rPr>
                <w:lang w:val="en-US"/>
              </w:rPr>
              <w:t>(</w:t>
            </w:r>
            <w:r>
              <w:t>1.849</w:t>
            </w:r>
            <w:r>
              <w:rPr>
                <w:lang w:val="en-US"/>
              </w:rPr>
              <w:t>)</w:t>
            </w:r>
          </w:p>
        </w:tc>
      </w:tr>
      <w:tr w:rsidR="00FB32F0" w:rsidRPr="00D0316C" w14:paraId="0B7989BA" w14:textId="77777777" w:rsidTr="00E0657C">
        <w:trPr>
          <w:trHeight w:val="20"/>
          <w:jc w:val="center"/>
        </w:trPr>
        <w:tc>
          <w:tcPr>
            <w:tcW w:w="2512" w:type="dxa"/>
            <w:tcBorders>
              <w:left w:val="nil"/>
              <w:bottom w:val="nil"/>
              <w:right w:val="nil"/>
            </w:tcBorders>
            <w:noWrap/>
            <w:hideMark/>
          </w:tcPr>
          <w:p w14:paraId="060B773E" w14:textId="77777777" w:rsidR="00D0316C" w:rsidRPr="00D0316C" w:rsidRDefault="00D0316C" w:rsidP="00C34DC2">
            <w:proofErr w:type="spellStart"/>
            <w:r w:rsidRPr="00D0316C">
              <w:rPr>
                <w:bCs/>
              </w:rPr>
              <w:t>ku</w:t>
            </w:r>
            <w:proofErr w:type="spellEnd"/>
          </w:p>
        </w:tc>
        <w:tc>
          <w:tcPr>
            <w:tcW w:w="1272" w:type="dxa"/>
            <w:tcBorders>
              <w:left w:val="nil"/>
              <w:bottom w:val="nil"/>
            </w:tcBorders>
            <w:noWrap/>
            <w:hideMark/>
          </w:tcPr>
          <w:p w14:paraId="167920CB" w14:textId="77777777" w:rsidR="00D0316C" w:rsidRPr="00D0316C" w:rsidRDefault="00060E0C" w:rsidP="00D0316C">
            <w:pPr>
              <w:jc w:val="center"/>
            </w:pPr>
            <w:r>
              <w:t>-0.014</w:t>
            </w:r>
          </w:p>
        </w:tc>
        <w:tc>
          <w:tcPr>
            <w:tcW w:w="1318" w:type="dxa"/>
            <w:tcBorders>
              <w:bottom w:val="nil"/>
              <w:right w:val="nil"/>
            </w:tcBorders>
            <w:noWrap/>
            <w:hideMark/>
          </w:tcPr>
          <w:p w14:paraId="72FF7B02" w14:textId="77777777" w:rsidR="00D0316C" w:rsidRPr="00D0316C" w:rsidRDefault="00205F45" w:rsidP="00C34DC2">
            <w:r w:rsidRPr="00205F45">
              <w:rPr>
                <w:bCs/>
                <w:lang w:val="en-US"/>
              </w:rPr>
              <w:t>susk</w:t>
            </w:r>
            <w:r w:rsidRPr="00205F45">
              <w:rPr>
                <w:vertAlign w:val="subscript"/>
                <w:lang w:val="en-US"/>
              </w:rPr>
              <w:t>5</w:t>
            </w:r>
          </w:p>
        </w:tc>
        <w:tc>
          <w:tcPr>
            <w:tcW w:w="2411" w:type="dxa"/>
            <w:tcBorders>
              <w:left w:val="nil"/>
              <w:bottom w:val="nil"/>
              <w:right w:val="nil"/>
            </w:tcBorders>
            <w:noWrap/>
            <w:hideMark/>
          </w:tcPr>
          <w:p w14:paraId="77AD3A55" w14:textId="77777777" w:rsidR="00D0316C" w:rsidRPr="00D0316C" w:rsidRDefault="00285720" w:rsidP="00285720">
            <w:r>
              <w:rPr>
                <w:lang w:val="en-US"/>
              </w:rPr>
              <w:t xml:space="preserve">   </w:t>
            </w:r>
            <w:r w:rsidR="00FB32F0">
              <w:rPr>
                <w:lang w:val="en-US"/>
              </w:rPr>
              <w:t xml:space="preserve">            </w:t>
            </w:r>
            <w:r>
              <w:t>-0.441</w:t>
            </w:r>
          </w:p>
        </w:tc>
      </w:tr>
      <w:tr w:rsidR="00D0316C" w:rsidRPr="00D0316C" w14:paraId="0D213E5F" w14:textId="77777777" w:rsidTr="00E0657C">
        <w:trPr>
          <w:trHeight w:val="20"/>
          <w:jc w:val="center"/>
        </w:trPr>
        <w:tc>
          <w:tcPr>
            <w:tcW w:w="2512" w:type="dxa"/>
            <w:tcBorders>
              <w:top w:val="nil"/>
              <w:left w:val="nil"/>
              <w:bottom w:val="single" w:sz="4" w:space="0" w:color="auto"/>
              <w:right w:val="nil"/>
            </w:tcBorders>
            <w:noWrap/>
            <w:hideMark/>
          </w:tcPr>
          <w:p w14:paraId="44E871BC" w14:textId="77777777" w:rsidR="00D0316C" w:rsidRPr="00D0316C" w:rsidRDefault="00D0316C" w:rsidP="00C34DC2"/>
        </w:tc>
        <w:tc>
          <w:tcPr>
            <w:tcW w:w="1272" w:type="dxa"/>
            <w:tcBorders>
              <w:top w:val="nil"/>
              <w:left w:val="nil"/>
              <w:bottom w:val="single" w:sz="4" w:space="0" w:color="auto"/>
            </w:tcBorders>
            <w:noWrap/>
            <w:hideMark/>
          </w:tcPr>
          <w:p w14:paraId="527CDEC7" w14:textId="77777777" w:rsidR="00D0316C" w:rsidRPr="00060E0C" w:rsidRDefault="00060E0C" w:rsidP="00D0316C">
            <w:pPr>
              <w:jc w:val="center"/>
              <w:rPr>
                <w:lang w:val="en-US"/>
              </w:rPr>
            </w:pPr>
            <w:r>
              <w:rPr>
                <w:lang w:val="en-US"/>
              </w:rPr>
              <w:t>(</w:t>
            </w:r>
            <w:r>
              <w:t>0.011</w:t>
            </w:r>
            <w:r>
              <w:rPr>
                <w:lang w:val="en-US"/>
              </w:rPr>
              <w:t>)</w:t>
            </w:r>
          </w:p>
        </w:tc>
        <w:tc>
          <w:tcPr>
            <w:tcW w:w="1318" w:type="dxa"/>
            <w:tcBorders>
              <w:top w:val="nil"/>
              <w:bottom w:val="single" w:sz="4" w:space="0" w:color="auto"/>
              <w:right w:val="nil"/>
            </w:tcBorders>
            <w:noWrap/>
            <w:hideMark/>
          </w:tcPr>
          <w:p w14:paraId="144A5D23" w14:textId="77777777" w:rsidR="00D0316C" w:rsidRPr="00D0316C" w:rsidRDefault="00D0316C" w:rsidP="00C34DC2"/>
        </w:tc>
        <w:tc>
          <w:tcPr>
            <w:tcW w:w="2411" w:type="dxa"/>
            <w:tcBorders>
              <w:top w:val="nil"/>
              <w:left w:val="nil"/>
              <w:bottom w:val="single" w:sz="4" w:space="0" w:color="auto"/>
              <w:right w:val="nil"/>
            </w:tcBorders>
            <w:noWrap/>
            <w:hideMark/>
          </w:tcPr>
          <w:p w14:paraId="59D8A10C" w14:textId="77777777" w:rsidR="00D0316C" w:rsidRPr="00D0316C" w:rsidRDefault="00285720" w:rsidP="00D0316C">
            <w:pPr>
              <w:jc w:val="center"/>
            </w:pPr>
            <w:r>
              <w:rPr>
                <w:lang w:val="en-US"/>
              </w:rPr>
              <w:t>(</w:t>
            </w:r>
            <w:r>
              <w:t>1.904</w:t>
            </w:r>
            <w:r>
              <w:rPr>
                <w:lang w:val="en-US"/>
              </w:rPr>
              <w:t>)</w:t>
            </w:r>
          </w:p>
        </w:tc>
      </w:tr>
      <w:tr w:rsidR="00FB32F0" w:rsidRPr="00D0316C" w14:paraId="7F511D0F" w14:textId="77777777" w:rsidTr="00E0657C">
        <w:trPr>
          <w:trHeight w:val="20"/>
          <w:jc w:val="center"/>
        </w:trPr>
        <w:tc>
          <w:tcPr>
            <w:tcW w:w="2512" w:type="dxa"/>
            <w:tcBorders>
              <w:left w:val="nil"/>
              <w:bottom w:val="nil"/>
              <w:right w:val="nil"/>
            </w:tcBorders>
            <w:noWrap/>
            <w:hideMark/>
          </w:tcPr>
          <w:p w14:paraId="55D141FF" w14:textId="77777777" w:rsidR="00D0316C" w:rsidRPr="00D0316C" w:rsidRDefault="00D0316C" w:rsidP="00C34DC2">
            <w:proofErr w:type="spellStart"/>
            <w:r w:rsidRPr="00D0316C">
              <w:rPr>
                <w:bCs/>
              </w:rPr>
              <w:t>sunloi</w:t>
            </w:r>
            <w:proofErr w:type="spellEnd"/>
            <w:r w:rsidRPr="00D0316C">
              <w:rPr>
                <w:bCs/>
              </w:rPr>
              <w:t>*</w:t>
            </w:r>
          </w:p>
        </w:tc>
        <w:tc>
          <w:tcPr>
            <w:tcW w:w="1272" w:type="dxa"/>
            <w:tcBorders>
              <w:left w:val="nil"/>
              <w:bottom w:val="nil"/>
            </w:tcBorders>
            <w:noWrap/>
            <w:hideMark/>
          </w:tcPr>
          <w:p w14:paraId="343DCE1E" w14:textId="77777777" w:rsidR="00D0316C" w:rsidRPr="00D0316C" w:rsidRDefault="00060E0C" w:rsidP="00D0316C">
            <w:pPr>
              <w:jc w:val="center"/>
            </w:pPr>
            <w:r>
              <w:rPr>
                <w:lang w:val="en-US"/>
              </w:rPr>
              <w:t xml:space="preserve">  </w:t>
            </w:r>
            <w:r>
              <w:t>0.195</w:t>
            </w:r>
            <w:r w:rsidR="00D0316C" w:rsidRPr="00D0316C">
              <w:t>*</w:t>
            </w:r>
          </w:p>
        </w:tc>
        <w:tc>
          <w:tcPr>
            <w:tcW w:w="1318" w:type="dxa"/>
            <w:tcBorders>
              <w:bottom w:val="nil"/>
              <w:right w:val="nil"/>
            </w:tcBorders>
            <w:noWrap/>
            <w:hideMark/>
          </w:tcPr>
          <w:p w14:paraId="57D6DF26" w14:textId="77777777" w:rsidR="00D0316C" w:rsidRPr="00D0316C" w:rsidRDefault="00205F45" w:rsidP="00C34DC2">
            <w:r w:rsidRPr="00205F45">
              <w:rPr>
                <w:bCs/>
                <w:lang w:val="en-US"/>
              </w:rPr>
              <w:t>susk</w:t>
            </w:r>
            <w:r w:rsidRPr="00205F45">
              <w:rPr>
                <w:vertAlign w:val="subscript"/>
                <w:lang w:val="en-US"/>
              </w:rPr>
              <w:t>6</w:t>
            </w:r>
          </w:p>
        </w:tc>
        <w:tc>
          <w:tcPr>
            <w:tcW w:w="2411" w:type="dxa"/>
            <w:tcBorders>
              <w:left w:val="nil"/>
              <w:bottom w:val="nil"/>
              <w:right w:val="nil"/>
            </w:tcBorders>
            <w:noWrap/>
            <w:hideMark/>
          </w:tcPr>
          <w:p w14:paraId="6A5B3010" w14:textId="77777777" w:rsidR="00D0316C" w:rsidRPr="00D0316C" w:rsidRDefault="00285720" w:rsidP="00285720">
            <w:r>
              <w:rPr>
                <w:lang w:val="en-US"/>
              </w:rPr>
              <w:t xml:space="preserve">   </w:t>
            </w:r>
            <w:r w:rsidR="00FB32F0">
              <w:rPr>
                <w:lang w:val="en-US"/>
              </w:rPr>
              <w:t xml:space="preserve">            </w:t>
            </w:r>
            <w:r>
              <w:t>-0.783</w:t>
            </w:r>
          </w:p>
        </w:tc>
      </w:tr>
      <w:tr w:rsidR="00D0316C" w:rsidRPr="00D0316C" w14:paraId="15A36028" w14:textId="77777777" w:rsidTr="00E0657C">
        <w:trPr>
          <w:trHeight w:val="20"/>
          <w:jc w:val="center"/>
        </w:trPr>
        <w:tc>
          <w:tcPr>
            <w:tcW w:w="2512" w:type="dxa"/>
            <w:tcBorders>
              <w:top w:val="nil"/>
              <w:left w:val="nil"/>
              <w:bottom w:val="single" w:sz="4" w:space="0" w:color="auto"/>
              <w:right w:val="nil"/>
            </w:tcBorders>
            <w:noWrap/>
            <w:hideMark/>
          </w:tcPr>
          <w:p w14:paraId="738610EB" w14:textId="77777777" w:rsidR="00D0316C" w:rsidRPr="00D0316C" w:rsidRDefault="00D0316C" w:rsidP="00C34DC2"/>
        </w:tc>
        <w:tc>
          <w:tcPr>
            <w:tcW w:w="1272" w:type="dxa"/>
            <w:tcBorders>
              <w:top w:val="nil"/>
              <w:left w:val="nil"/>
              <w:bottom w:val="single" w:sz="4" w:space="0" w:color="auto"/>
            </w:tcBorders>
            <w:noWrap/>
            <w:hideMark/>
          </w:tcPr>
          <w:p w14:paraId="259EE7DE" w14:textId="77777777" w:rsidR="00D0316C" w:rsidRPr="00060E0C" w:rsidRDefault="00060E0C" w:rsidP="00D0316C">
            <w:pPr>
              <w:jc w:val="center"/>
              <w:rPr>
                <w:lang w:val="en-US"/>
              </w:rPr>
            </w:pPr>
            <w:r>
              <w:rPr>
                <w:lang w:val="en-US"/>
              </w:rPr>
              <w:t>(</w:t>
            </w:r>
            <w:r>
              <w:t>0.086</w:t>
            </w:r>
            <w:r>
              <w:rPr>
                <w:lang w:val="en-US"/>
              </w:rPr>
              <w:t>)</w:t>
            </w:r>
          </w:p>
        </w:tc>
        <w:tc>
          <w:tcPr>
            <w:tcW w:w="1318" w:type="dxa"/>
            <w:tcBorders>
              <w:top w:val="nil"/>
              <w:bottom w:val="single" w:sz="4" w:space="0" w:color="auto"/>
              <w:right w:val="nil"/>
            </w:tcBorders>
            <w:noWrap/>
            <w:hideMark/>
          </w:tcPr>
          <w:p w14:paraId="637805D2" w14:textId="77777777" w:rsidR="00D0316C" w:rsidRPr="00D0316C" w:rsidRDefault="00D0316C" w:rsidP="00C34DC2"/>
        </w:tc>
        <w:tc>
          <w:tcPr>
            <w:tcW w:w="2411" w:type="dxa"/>
            <w:tcBorders>
              <w:top w:val="nil"/>
              <w:left w:val="nil"/>
              <w:bottom w:val="single" w:sz="4" w:space="0" w:color="auto"/>
              <w:right w:val="nil"/>
            </w:tcBorders>
            <w:noWrap/>
            <w:hideMark/>
          </w:tcPr>
          <w:p w14:paraId="3CCA59EC" w14:textId="77777777" w:rsidR="00D0316C" w:rsidRPr="00D0316C" w:rsidRDefault="00285720" w:rsidP="00D0316C">
            <w:pPr>
              <w:jc w:val="center"/>
            </w:pPr>
            <w:r>
              <w:rPr>
                <w:lang w:val="en-US"/>
              </w:rPr>
              <w:t>(</w:t>
            </w:r>
            <w:r>
              <w:t>1.798</w:t>
            </w:r>
            <w:r>
              <w:rPr>
                <w:lang w:val="en-US"/>
              </w:rPr>
              <w:t>)</w:t>
            </w:r>
          </w:p>
        </w:tc>
      </w:tr>
      <w:tr w:rsidR="00FB32F0" w:rsidRPr="00D0316C" w14:paraId="5433F23D" w14:textId="77777777" w:rsidTr="00E0657C">
        <w:trPr>
          <w:trHeight w:val="20"/>
          <w:jc w:val="center"/>
        </w:trPr>
        <w:tc>
          <w:tcPr>
            <w:tcW w:w="2512" w:type="dxa"/>
            <w:tcBorders>
              <w:left w:val="nil"/>
              <w:bottom w:val="nil"/>
              <w:right w:val="nil"/>
            </w:tcBorders>
            <w:noWrap/>
            <w:hideMark/>
          </w:tcPr>
          <w:p w14:paraId="0FDB821B" w14:textId="77777777" w:rsidR="00D0316C" w:rsidRPr="00D0316C" w:rsidRDefault="00D0316C" w:rsidP="00C34DC2">
            <w:proofErr w:type="spellStart"/>
            <w:r w:rsidRPr="00D0316C">
              <w:rPr>
                <w:bCs/>
              </w:rPr>
              <w:t>sunel</w:t>
            </w:r>
            <w:proofErr w:type="spellEnd"/>
          </w:p>
        </w:tc>
        <w:tc>
          <w:tcPr>
            <w:tcW w:w="1272" w:type="dxa"/>
            <w:tcBorders>
              <w:left w:val="nil"/>
              <w:bottom w:val="nil"/>
            </w:tcBorders>
            <w:noWrap/>
            <w:hideMark/>
          </w:tcPr>
          <w:p w14:paraId="1977C733" w14:textId="77777777" w:rsidR="00D0316C" w:rsidRPr="00D0316C" w:rsidRDefault="00E6083D" w:rsidP="00D0316C">
            <w:pPr>
              <w:jc w:val="center"/>
            </w:pPr>
            <w:r>
              <w:t>-0.018</w:t>
            </w:r>
          </w:p>
        </w:tc>
        <w:tc>
          <w:tcPr>
            <w:tcW w:w="1318" w:type="dxa"/>
            <w:tcBorders>
              <w:bottom w:val="nil"/>
              <w:right w:val="nil"/>
            </w:tcBorders>
            <w:noWrap/>
            <w:hideMark/>
          </w:tcPr>
          <w:p w14:paraId="3AD5ADA5" w14:textId="77777777" w:rsidR="00D0316C" w:rsidRPr="00D0316C" w:rsidRDefault="00205F45" w:rsidP="00C34DC2">
            <w:proofErr w:type="spellStart"/>
            <w:r w:rsidRPr="00205F45">
              <w:rPr>
                <w:bCs/>
              </w:rPr>
              <w:t>innov</w:t>
            </w:r>
            <w:proofErr w:type="spellEnd"/>
          </w:p>
        </w:tc>
        <w:tc>
          <w:tcPr>
            <w:tcW w:w="2411" w:type="dxa"/>
            <w:tcBorders>
              <w:left w:val="nil"/>
              <w:bottom w:val="nil"/>
              <w:right w:val="nil"/>
            </w:tcBorders>
            <w:noWrap/>
            <w:hideMark/>
          </w:tcPr>
          <w:p w14:paraId="75A58AC7" w14:textId="77777777" w:rsidR="00D0316C" w:rsidRPr="00D0316C" w:rsidRDefault="00B566E2" w:rsidP="00B566E2">
            <w:r>
              <w:rPr>
                <w:lang w:val="en-US"/>
              </w:rPr>
              <w:t xml:space="preserve">   </w:t>
            </w:r>
            <w:r w:rsidR="00FB32F0">
              <w:rPr>
                <w:lang w:val="en-US"/>
              </w:rPr>
              <w:t xml:space="preserve">            </w:t>
            </w:r>
            <w:r>
              <w:t>-2.102</w:t>
            </w:r>
          </w:p>
        </w:tc>
      </w:tr>
      <w:tr w:rsidR="00D0316C" w:rsidRPr="00D0316C" w14:paraId="3E70A4D8" w14:textId="77777777" w:rsidTr="00E0657C">
        <w:trPr>
          <w:trHeight w:val="20"/>
          <w:jc w:val="center"/>
        </w:trPr>
        <w:tc>
          <w:tcPr>
            <w:tcW w:w="2512" w:type="dxa"/>
            <w:tcBorders>
              <w:top w:val="nil"/>
              <w:left w:val="nil"/>
              <w:bottom w:val="single" w:sz="4" w:space="0" w:color="auto"/>
              <w:right w:val="nil"/>
            </w:tcBorders>
            <w:noWrap/>
            <w:hideMark/>
          </w:tcPr>
          <w:p w14:paraId="463F29E8" w14:textId="77777777" w:rsidR="00D0316C" w:rsidRPr="00D0316C" w:rsidRDefault="00D0316C" w:rsidP="00C34DC2"/>
        </w:tc>
        <w:tc>
          <w:tcPr>
            <w:tcW w:w="1272" w:type="dxa"/>
            <w:tcBorders>
              <w:top w:val="nil"/>
              <w:left w:val="nil"/>
              <w:bottom w:val="single" w:sz="4" w:space="0" w:color="auto"/>
            </w:tcBorders>
            <w:noWrap/>
            <w:hideMark/>
          </w:tcPr>
          <w:p w14:paraId="23AA4F69" w14:textId="77777777" w:rsidR="00D0316C" w:rsidRPr="00E6083D" w:rsidRDefault="00E6083D" w:rsidP="00D0316C">
            <w:pPr>
              <w:jc w:val="center"/>
              <w:rPr>
                <w:lang w:val="en-US"/>
              </w:rPr>
            </w:pPr>
            <w:r>
              <w:rPr>
                <w:lang w:val="en-US"/>
              </w:rPr>
              <w:t>(</w:t>
            </w:r>
            <w:r>
              <w:t>0.016</w:t>
            </w:r>
            <w:r>
              <w:rPr>
                <w:lang w:val="en-US"/>
              </w:rPr>
              <w:t>)</w:t>
            </w:r>
          </w:p>
        </w:tc>
        <w:tc>
          <w:tcPr>
            <w:tcW w:w="1318" w:type="dxa"/>
            <w:tcBorders>
              <w:top w:val="nil"/>
              <w:bottom w:val="single" w:sz="4" w:space="0" w:color="auto"/>
              <w:right w:val="nil"/>
            </w:tcBorders>
            <w:noWrap/>
            <w:hideMark/>
          </w:tcPr>
          <w:p w14:paraId="3B7B4B86" w14:textId="77777777" w:rsidR="00D0316C" w:rsidRPr="00D0316C" w:rsidRDefault="00D0316C" w:rsidP="00C34DC2"/>
        </w:tc>
        <w:tc>
          <w:tcPr>
            <w:tcW w:w="2411" w:type="dxa"/>
            <w:tcBorders>
              <w:top w:val="nil"/>
              <w:left w:val="nil"/>
              <w:bottom w:val="single" w:sz="4" w:space="0" w:color="auto"/>
              <w:right w:val="nil"/>
            </w:tcBorders>
            <w:noWrap/>
            <w:hideMark/>
          </w:tcPr>
          <w:p w14:paraId="7874CFBC" w14:textId="77777777" w:rsidR="00D0316C" w:rsidRPr="00D0316C" w:rsidRDefault="00B566E2" w:rsidP="00D0316C">
            <w:pPr>
              <w:jc w:val="center"/>
            </w:pPr>
            <w:r>
              <w:rPr>
                <w:lang w:val="en-US"/>
              </w:rPr>
              <w:t>(</w:t>
            </w:r>
            <w:r>
              <w:t>1.411</w:t>
            </w:r>
            <w:r>
              <w:rPr>
                <w:lang w:val="en-US"/>
              </w:rPr>
              <w:t>)</w:t>
            </w:r>
          </w:p>
        </w:tc>
      </w:tr>
      <w:tr w:rsidR="00FB32F0" w:rsidRPr="00D0316C" w14:paraId="7C8FE0DB" w14:textId="77777777" w:rsidTr="00E0657C">
        <w:trPr>
          <w:trHeight w:val="20"/>
          <w:jc w:val="center"/>
        </w:trPr>
        <w:tc>
          <w:tcPr>
            <w:tcW w:w="2512" w:type="dxa"/>
            <w:tcBorders>
              <w:left w:val="nil"/>
              <w:bottom w:val="nil"/>
              <w:right w:val="nil"/>
            </w:tcBorders>
            <w:noWrap/>
            <w:hideMark/>
          </w:tcPr>
          <w:p w14:paraId="53E33927" w14:textId="77777777" w:rsidR="00D0316C" w:rsidRPr="00D0316C" w:rsidRDefault="00D0316C" w:rsidP="00C34DC2">
            <w:r w:rsidRPr="00D0316C">
              <w:rPr>
                <w:bCs/>
              </w:rPr>
              <w:t>know_new</w:t>
            </w:r>
            <w:r w:rsidRPr="00D0316C">
              <w:rPr>
                <w:vertAlign w:val="subscript"/>
              </w:rPr>
              <w:t>3</w:t>
            </w:r>
          </w:p>
        </w:tc>
        <w:tc>
          <w:tcPr>
            <w:tcW w:w="1272" w:type="dxa"/>
            <w:tcBorders>
              <w:left w:val="nil"/>
              <w:bottom w:val="nil"/>
            </w:tcBorders>
            <w:noWrap/>
            <w:hideMark/>
          </w:tcPr>
          <w:p w14:paraId="6521B9B1" w14:textId="77777777" w:rsidR="00D0316C" w:rsidRPr="00D0316C" w:rsidRDefault="00E6083D" w:rsidP="00D0316C">
            <w:pPr>
              <w:jc w:val="center"/>
            </w:pPr>
            <w:r>
              <w:t>2.103</w:t>
            </w:r>
          </w:p>
        </w:tc>
        <w:tc>
          <w:tcPr>
            <w:tcW w:w="1318" w:type="dxa"/>
            <w:tcBorders>
              <w:bottom w:val="nil"/>
              <w:right w:val="nil"/>
            </w:tcBorders>
            <w:noWrap/>
            <w:hideMark/>
          </w:tcPr>
          <w:p w14:paraId="03AB778B" w14:textId="77777777" w:rsidR="00D0316C" w:rsidRPr="00D0316C" w:rsidRDefault="00205F45" w:rsidP="00C34DC2">
            <w:r w:rsidRPr="00205F45">
              <w:rPr>
                <w:bCs/>
              </w:rPr>
              <w:t>salpr</w:t>
            </w:r>
            <w:r w:rsidRPr="00205F45">
              <w:rPr>
                <w:vertAlign w:val="subscript"/>
              </w:rPr>
              <w:t>2</w:t>
            </w:r>
          </w:p>
        </w:tc>
        <w:tc>
          <w:tcPr>
            <w:tcW w:w="2411" w:type="dxa"/>
            <w:tcBorders>
              <w:left w:val="nil"/>
              <w:bottom w:val="nil"/>
              <w:right w:val="nil"/>
            </w:tcBorders>
            <w:noWrap/>
            <w:hideMark/>
          </w:tcPr>
          <w:p w14:paraId="30F7A126" w14:textId="77777777" w:rsidR="00D0316C" w:rsidRPr="00D0316C" w:rsidRDefault="00B566E2" w:rsidP="00D0316C">
            <w:pPr>
              <w:jc w:val="center"/>
            </w:pPr>
            <w:r>
              <w:t>-1.958</w:t>
            </w:r>
          </w:p>
        </w:tc>
      </w:tr>
      <w:tr w:rsidR="00D0316C" w:rsidRPr="00D0316C" w14:paraId="0D841E64" w14:textId="77777777" w:rsidTr="00E0657C">
        <w:trPr>
          <w:trHeight w:val="20"/>
          <w:jc w:val="center"/>
        </w:trPr>
        <w:tc>
          <w:tcPr>
            <w:tcW w:w="2512" w:type="dxa"/>
            <w:tcBorders>
              <w:top w:val="nil"/>
              <w:left w:val="nil"/>
              <w:bottom w:val="single" w:sz="4" w:space="0" w:color="auto"/>
              <w:right w:val="nil"/>
            </w:tcBorders>
            <w:noWrap/>
            <w:hideMark/>
          </w:tcPr>
          <w:p w14:paraId="3A0FF5F2" w14:textId="77777777" w:rsidR="00D0316C" w:rsidRPr="00D0316C" w:rsidRDefault="00D0316C" w:rsidP="00C34DC2"/>
        </w:tc>
        <w:tc>
          <w:tcPr>
            <w:tcW w:w="1272" w:type="dxa"/>
            <w:tcBorders>
              <w:top w:val="nil"/>
              <w:left w:val="nil"/>
              <w:bottom w:val="single" w:sz="4" w:space="0" w:color="auto"/>
            </w:tcBorders>
            <w:noWrap/>
            <w:hideMark/>
          </w:tcPr>
          <w:p w14:paraId="4F06B17B" w14:textId="77777777" w:rsidR="00D0316C" w:rsidRPr="00E6083D" w:rsidRDefault="00E6083D" w:rsidP="00D0316C">
            <w:pPr>
              <w:jc w:val="center"/>
              <w:rPr>
                <w:lang w:val="en-US"/>
              </w:rPr>
            </w:pPr>
            <w:r>
              <w:rPr>
                <w:lang w:val="en-US"/>
              </w:rPr>
              <w:t>(</w:t>
            </w:r>
            <w:r>
              <w:t>1.858</w:t>
            </w:r>
            <w:r>
              <w:rPr>
                <w:lang w:val="en-US"/>
              </w:rPr>
              <w:t>)</w:t>
            </w:r>
          </w:p>
        </w:tc>
        <w:tc>
          <w:tcPr>
            <w:tcW w:w="1318" w:type="dxa"/>
            <w:tcBorders>
              <w:top w:val="nil"/>
              <w:bottom w:val="single" w:sz="4" w:space="0" w:color="auto"/>
              <w:right w:val="nil"/>
            </w:tcBorders>
            <w:noWrap/>
            <w:hideMark/>
          </w:tcPr>
          <w:p w14:paraId="5630AD66" w14:textId="77777777" w:rsidR="00D0316C" w:rsidRPr="00D0316C" w:rsidRDefault="00D0316C" w:rsidP="00C34DC2"/>
        </w:tc>
        <w:tc>
          <w:tcPr>
            <w:tcW w:w="2411" w:type="dxa"/>
            <w:tcBorders>
              <w:top w:val="nil"/>
              <w:left w:val="nil"/>
              <w:bottom w:val="single" w:sz="4" w:space="0" w:color="auto"/>
              <w:right w:val="nil"/>
            </w:tcBorders>
            <w:noWrap/>
            <w:hideMark/>
          </w:tcPr>
          <w:p w14:paraId="2232F0DF" w14:textId="77777777" w:rsidR="00D0316C" w:rsidRPr="00B566E2" w:rsidRDefault="00B566E2" w:rsidP="00D0316C">
            <w:pPr>
              <w:jc w:val="center"/>
              <w:rPr>
                <w:lang w:val="en-US"/>
              </w:rPr>
            </w:pPr>
            <w:r>
              <w:rPr>
                <w:lang w:val="en-US"/>
              </w:rPr>
              <w:t>(</w:t>
            </w:r>
            <w:r>
              <w:t>1.945</w:t>
            </w:r>
            <w:r>
              <w:rPr>
                <w:lang w:val="en-US"/>
              </w:rPr>
              <w:t>)</w:t>
            </w:r>
          </w:p>
        </w:tc>
      </w:tr>
      <w:tr w:rsidR="00FB32F0" w:rsidRPr="00D0316C" w14:paraId="604E4C23" w14:textId="77777777" w:rsidTr="00E0657C">
        <w:trPr>
          <w:trHeight w:val="20"/>
          <w:jc w:val="center"/>
        </w:trPr>
        <w:tc>
          <w:tcPr>
            <w:tcW w:w="2512" w:type="dxa"/>
            <w:tcBorders>
              <w:left w:val="nil"/>
              <w:bottom w:val="nil"/>
              <w:right w:val="nil"/>
            </w:tcBorders>
            <w:noWrap/>
            <w:hideMark/>
          </w:tcPr>
          <w:p w14:paraId="504B0180" w14:textId="77777777" w:rsidR="00D0316C" w:rsidRPr="00D0316C" w:rsidRDefault="00D0316C" w:rsidP="00C34DC2">
            <w:r w:rsidRPr="00D0316C">
              <w:rPr>
                <w:bCs/>
              </w:rPr>
              <w:t>know_new</w:t>
            </w:r>
            <w:r w:rsidRPr="00D0316C">
              <w:rPr>
                <w:vertAlign w:val="subscript"/>
              </w:rPr>
              <w:t>4</w:t>
            </w:r>
            <w:r w:rsidRPr="00D0316C">
              <w:t>*</w:t>
            </w:r>
          </w:p>
        </w:tc>
        <w:tc>
          <w:tcPr>
            <w:tcW w:w="1272" w:type="dxa"/>
            <w:tcBorders>
              <w:left w:val="nil"/>
              <w:bottom w:val="nil"/>
            </w:tcBorders>
            <w:noWrap/>
            <w:hideMark/>
          </w:tcPr>
          <w:p w14:paraId="5BD9A5A4" w14:textId="77777777" w:rsidR="00D0316C" w:rsidRPr="00D0316C" w:rsidRDefault="00E6083D" w:rsidP="00D0316C">
            <w:pPr>
              <w:jc w:val="center"/>
            </w:pPr>
            <w:r>
              <w:rPr>
                <w:lang w:val="en-US"/>
              </w:rPr>
              <w:t xml:space="preserve">   </w:t>
            </w:r>
            <w:r>
              <w:t>4.822</w:t>
            </w:r>
            <w:r w:rsidR="00D0316C" w:rsidRPr="00D0316C">
              <w:t>*</w:t>
            </w:r>
          </w:p>
        </w:tc>
        <w:tc>
          <w:tcPr>
            <w:tcW w:w="1318" w:type="dxa"/>
            <w:tcBorders>
              <w:bottom w:val="nil"/>
              <w:right w:val="nil"/>
            </w:tcBorders>
            <w:noWrap/>
            <w:hideMark/>
          </w:tcPr>
          <w:p w14:paraId="5AD5726C" w14:textId="77777777" w:rsidR="00D0316C" w:rsidRPr="00D0316C" w:rsidRDefault="00205F45" w:rsidP="00C34DC2">
            <w:r w:rsidRPr="00205F45">
              <w:rPr>
                <w:bCs/>
              </w:rPr>
              <w:t>salpr</w:t>
            </w:r>
            <w:r w:rsidRPr="00205F45">
              <w:rPr>
                <w:vertAlign w:val="subscript"/>
              </w:rPr>
              <w:t>3</w:t>
            </w:r>
          </w:p>
        </w:tc>
        <w:tc>
          <w:tcPr>
            <w:tcW w:w="2411" w:type="dxa"/>
            <w:tcBorders>
              <w:left w:val="nil"/>
              <w:bottom w:val="nil"/>
              <w:right w:val="nil"/>
            </w:tcBorders>
            <w:noWrap/>
            <w:hideMark/>
          </w:tcPr>
          <w:p w14:paraId="598CC1EB" w14:textId="77777777" w:rsidR="00D0316C" w:rsidRPr="00D0316C" w:rsidRDefault="00B566E2" w:rsidP="00B566E2">
            <w:r>
              <w:rPr>
                <w:lang w:val="en-US"/>
              </w:rPr>
              <w:t xml:space="preserve">    </w:t>
            </w:r>
            <w:r w:rsidR="00FB32F0">
              <w:rPr>
                <w:lang w:val="en-US"/>
              </w:rPr>
              <w:t xml:space="preserve">            </w:t>
            </w:r>
            <w:r>
              <w:t>0.023</w:t>
            </w:r>
          </w:p>
        </w:tc>
      </w:tr>
      <w:tr w:rsidR="00FB32F0" w:rsidRPr="00D0316C" w14:paraId="7299FE57" w14:textId="77777777" w:rsidTr="00E0657C">
        <w:trPr>
          <w:trHeight w:val="20"/>
          <w:jc w:val="center"/>
        </w:trPr>
        <w:tc>
          <w:tcPr>
            <w:tcW w:w="2512" w:type="dxa"/>
            <w:tcBorders>
              <w:top w:val="nil"/>
              <w:left w:val="nil"/>
              <w:bottom w:val="double" w:sz="4" w:space="0" w:color="000000"/>
              <w:right w:val="nil"/>
            </w:tcBorders>
            <w:noWrap/>
            <w:hideMark/>
          </w:tcPr>
          <w:p w14:paraId="61829076" w14:textId="77777777" w:rsidR="00D0316C" w:rsidRPr="00D0316C" w:rsidRDefault="00D0316C" w:rsidP="00D0316C">
            <w:pPr>
              <w:jc w:val="center"/>
            </w:pPr>
          </w:p>
        </w:tc>
        <w:tc>
          <w:tcPr>
            <w:tcW w:w="1272" w:type="dxa"/>
            <w:tcBorders>
              <w:top w:val="nil"/>
              <w:left w:val="nil"/>
              <w:bottom w:val="double" w:sz="4" w:space="0" w:color="000000"/>
            </w:tcBorders>
            <w:noWrap/>
            <w:hideMark/>
          </w:tcPr>
          <w:p w14:paraId="1C685112" w14:textId="77777777" w:rsidR="00D0316C" w:rsidRPr="00E6083D" w:rsidRDefault="00E6083D" w:rsidP="00D0316C">
            <w:pPr>
              <w:jc w:val="center"/>
              <w:rPr>
                <w:lang w:val="en-US"/>
              </w:rPr>
            </w:pPr>
            <w:r>
              <w:rPr>
                <w:lang w:val="en-US"/>
              </w:rPr>
              <w:t>(</w:t>
            </w:r>
            <w:r>
              <w:t>1.914</w:t>
            </w:r>
            <w:r>
              <w:rPr>
                <w:lang w:val="en-US"/>
              </w:rPr>
              <w:t>)</w:t>
            </w:r>
          </w:p>
        </w:tc>
        <w:tc>
          <w:tcPr>
            <w:tcW w:w="1318" w:type="dxa"/>
            <w:tcBorders>
              <w:top w:val="nil"/>
              <w:bottom w:val="double" w:sz="4" w:space="0" w:color="000000"/>
              <w:right w:val="nil"/>
            </w:tcBorders>
            <w:noWrap/>
            <w:hideMark/>
          </w:tcPr>
          <w:p w14:paraId="2BA226A1" w14:textId="77777777" w:rsidR="00D0316C" w:rsidRPr="00D0316C" w:rsidRDefault="00D0316C" w:rsidP="00D0316C">
            <w:pPr>
              <w:jc w:val="center"/>
            </w:pPr>
          </w:p>
        </w:tc>
        <w:tc>
          <w:tcPr>
            <w:tcW w:w="2411" w:type="dxa"/>
            <w:tcBorders>
              <w:top w:val="nil"/>
              <w:left w:val="nil"/>
              <w:bottom w:val="double" w:sz="4" w:space="0" w:color="000000"/>
              <w:right w:val="nil"/>
            </w:tcBorders>
            <w:noWrap/>
            <w:hideMark/>
          </w:tcPr>
          <w:p w14:paraId="3AE3E2FB" w14:textId="77777777" w:rsidR="00D0316C" w:rsidRPr="00D0316C" w:rsidRDefault="00B566E2" w:rsidP="00D0316C">
            <w:pPr>
              <w:jc w:val="center"/>
            </w:pPr>
            <w:r>
              <w:rPr>
                <w:lang w:val="en-US"/>
              </w:rPr>
              <w:t>(</w:t>
            </w:r>
            <w:r>
              <w:t>1.426</w:t>
            </w:r>
            <w:r>
              <w:rPr>
                <w:lang w:val="en-US"/>
              </w:rPr>
              <w:t>)</w:t>
            </w:r>
          </w:p>
        </w:tc>
      </w:tr>
    </w:tbl>
    <w:p w14:paraId="042D5A2A" w14:textId="77777777" w:rsidR="00EE3CBF" w:rsidRPr="004A2882" w:rsidRDefault="00DF4E9A" w:rsidP="00DF4E9A">
      <w:pPr>
        <w:spacing w:after="0"/>
        <w:jc w:val="center"/>
        <w:rPr>
          <w:sz w:val="16"/>
          <w:szCs w:val="16"/>
          <w:lang w:val="en-US"/>
        </w:rPr>
      </w:pPr>
      <w:r w:rsidRPr="004A2882">
        <w:rPr>
          <w:sz w:val="16"/>
          <w:szCs w:val="16"/>
          <w:lang w:val="en-US"/>
        </w:rPr>
        <w:t>Notes: * and ** represent significance at the 5% and 10%, respectively.</w:t>
      </w:r>
    </w:p>
    <w:p w14:paraId="17AD93B2" w14:textId="77777777" w:rsidR="00B629C2" w:rsidRDefault="00B629C2" w:rsidP="004D2629">
      <w:pPr>
        <w:spacing w:after="0"/>
        <w:jc w:val="both"/>
        <w:rPr>
          <w:lang w:val="en-US"/>
        </w:rPr>
      </w:pPr>
    </w:p>
    <w:p w14:paraId="1F6938E4" w14:textId="2CF24514" w:rsidR="006742DE" w:rsidRPr="00D64BAB" w:rsidRDefault="00781883" w:rsidP="00322533">
      <w:pPr>
        <w:jc w:val="both"/>
        <w:rPr>
          <w:lang w:val="en-US"/>
        </w:rPr>
      </w:pPr>
      <w:r>
        <w:rPr>
          <w:lang w:val="en-US"/>
        </w:rPr>
        <w:t>We can then proceed in graphing the aggregate demand curve for the innovative fertilizer against salinity.</w:t>
      </w:r>
      <w:r w:rsidR="00C63614">
        <w:rPr>
          <w:lang w:val="en-US"/>
        </w:rPr>
        <w:t xml:space="preserve"> Figure 2</w:t>
      </w:r>
      <w:r w:rsidR="002755ED">
        <w:rPr>
          <w:lang w:val="en-US"/>
        </w:rPr>
        <w:t xml:space="preserve"> does exactly that for valuations elicited with both CV and IV</w:t>
      </w:r>
      <w:r w:rsidR="00B6536D">
        <w:rPr>
          <w:lang w:val="en-US"/>
        </w:rPr>
        <w:t xml:space="preserve"> (common regression CV-IV)</w:t>
      </w:r>
      <w:r w:rsidR="002755ED">
        <w:rPr>
          <w:lang w:val="en-US"/>
        </w:rPr>
        <w:t>.</w:t>
      </w:r>
      <w:r w:rsidR="00431BDC">
        <w:rPr>
          <w:lang w:val="en-US"/>
        </w:rPr>
        <w:t xml:space="preserve"> The extraction of the demand curve is based on the acceptance that we refer to buying a unit per product </w:t>
      </w:r>
      <w:r w:rsidR="0044022E">
        <w:rPr>
          <w:lang w:val="en-US"/>
        </w:rPr>
        <w:t>per consumer. Each point of this curve indicates the percentage of respondents that would buy of fertilizer at the bids projected on the Y axis.</w:t>
      </w:r>
      <w:r w:rsidR="00F115D3">
        <w:rPr>
          <w:lang w:val="en-US"/>
        </w:rPr>
        <w:t xml:space="preserve"> According to the results, the expected willingness to pay ranges from 2.55 € to 51.87 €. </w:t>
      </w:r>
      <w:r w:rsidR="001C4CFB">
        <w:rPr>
          <w:lang w:val="en-US"/>
        </w:rPr>
        <w:t xml:space="preserve"> As we clearly see in Figure 2</w:t>
      </w:r>
      <w:r w:rsidR="00B77A0D">
        <w:rPr>
          <w:lang w:val="en-US"/>
        </w:rPr>
        <w:t xml:space="preserve">, the average willingness to pay for the </w:t>
      </w:r>
      <w:r w:rsidR="00A6383A">
        <w:rPr>
          <w:lang w:val="en-US"/>
        </w:rPr>
        <w:t>under-valuation</w:t>
      </w:r>
      <w:r w:rsidR="00B77A0D">
        <w:rPr>
          <w:lang w:val="en-US"/>
        </w:rPr>
        <w:t xml:space="preserve"> product is 22.91 €.</w:t>
      </w:r>
      <w:r w:rsidR="00A76C8A">
        <w:rPr>
          <w:lang w:val="en-US"/>
        </w:rPr>
        <w:t xml:space="preserve"> Also, the average value </w:t>
      </w:r>
      <w:r w:rsidR="00D64BAB">
        <w:rPr>
          <w:lang w:val="en-US"/>
        </w:rPr>
        <w:t>for each liquid fertilizer package is 17.94 € for the 1lt and 139.4 € (27.88 €/</w:t>
      </w:r>
      <w:proofErr w:type="spellStart"/>
      <w:r w:rsidR="00D64BAB">
        <w:rPr>
          <w:lang w:val="en-US"/>
        </w:rPr>
        <w:t>lt</w:t>
      </w:r>
      <w:proofErr w:type="spellEnd"/>
      <w:r w:rsidR="00D64BAB">
        <w:rPr>
          <w:lang w:val="en-US"/>
        </w:rPr>
        <w:t>) for the 5lt.</w:t>
      </w:r>
    </w:p>
    <w:p w14:paraId="0DE4B5B7" w14:textId="77777777" w:rsidR="006742DE" w:rsidRDefault="006742DE" w:rsidP="006742DE">
      <w:pPr>
        <w:jc w:val="center"/>
        <w:rPr>
          <w:lang w:val="en-US"/>
        </w:rPr>
      </w:pPr>
      <w:r w:rsidRPr="006742DE">
        <w:rPr>
          <w:noProof/>
          <w:lang w:eastAsia="el-GR"/>
        </w:rPr>
        <w:lastRenderedPageBreak/>
        <w:drawing>
          <wp:inline distT="0" distB="0" distL="0" distR="0" wp14:anchorId="32420681" wp14:editId="07777777">
            <wp:extent cx="3924463" cy="2587925"/>
            <wp:effectExtent l="0" t="0" r="0" b="3175"/>
            <wp:docPr id="1" name="Picture 1" descr="https://scontent.fbud2-1.fna.fbcdn.net/v/t34.0-12/28908113_905961676249107_506614080_n.png?oh=7662519a87564e3b9f67c7688cb24415&amp;oe=5AAD3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ud2-1.fna.fbcdn.net/v/t34.0-12/28908113_905961676249107_506614080_n.png?oh=7662519a87564e3b9f67c7688cb24415&amp;oe=5AAD376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4113" cy="2633854"/>
                    </a:xfrm>
                    <a:prstGeom prst="rect">
                      <a:avLst/>
                    </a:prstGeom>
                    <a:noFill/>
                    <a:ln>
                      <a:noFill/>
                    </a:ln>
                  </pic:spPr>
                </pic:pic>
              </a:graphicData>
            </a:graphic>
          </wp:inline>
        </w:drawing>
      </w:r>
    </w:p>
    <w:p w14:paraId="6C85389F" w14:textId="77777777" w:rsidR="00B629C2" w:rsidRDefault="00445260" w:rsidP="00322533">
      <w:pPr>
        <w:jc w:val="both"/>
        <w:rPr>
          <w:lang w:val="en-US"/>
        </w:rPr>
      </w:pPr>
      <w:r>
        <w:rPr>
          <w:lang w:val="en-US"/>
        </w:rPr>
        <w:t>Figure 2</w:t>
      </w:r>
      <w:r w:rsidR="004E6AFE">
        <w:rPr>
          <w:lang w:val="en-US"/>
        </w:rPr>
        <w:t>: Demand curve from the common regression of the CV and IV elicitation methods</w:t>
      </w:r>
    </w:p>
    <w:p w14:paraId="21E226D6" w14:textId="77777777" w:rsidR="0081751C" w:rsidRDefault="0081751C" w:rsidP="00322533">
      <w:pPr>
        <w:jc w:val="both"/>
        <w:rPr>
          <w:lang w:val="en-US"/>
        </w:rPr>
      </w:pPr>
    </w:p>
    <w:p w14:paraId="13B2959C" w14:textId="77777777" w:rsidR="00B629C2" w:rsidRDefault="00316B16" w:rsidP="00DC4DA9">
      <w:pPr>
        <w:jc w:val="both"/>
        <w:outlineLvl w:val="0"/>
        <w:rPr>
          <w:b/>
          <w:lang w:val="en-US"/>
        </w:rPr>
      </w:pPr>
      <w:r w:rsidRPr="00316B16">
        <w:rPr>
          <w:b/>
          <w:lang w:val="en-US"/>
        </w:rPr>
        <w:t>8. Conclusions and discussion</w:t>
      </w:r>
    </w:p>
    <w:p w14:paraId="5F903453" w14:textId="77777777" w:rsidR="008275AF" w:rsidRDefault="00203F16" w:rsidP="00A8479A">
      <w:pPr>
        <w:jc w:val="both"/>
        <w:rPr>
          <w:lang w:val="en-US"/>
        </w:rPr>
      </w:pPr>
      <w:r>
        <w:rPr>
          <w:lang w:val="en-US"/>
        </w:rPr>
        <w:t xml:space="preserve">Salt accumulation in the soil </w:t>
      </w:r>
      <w:r w:rsidR="00084207">
        <w:rPr>
          <w:lang w:val="en-US"/>
        </w:rPr>
        <w:t>and the economic damage resulting from this are some of</w:t>
      </w:r>
      <w:r>
        <w:rPr>
          <w:lang w:val="en-US"/>
        </w:rPr>
        <w:t xml:space="preserve"> the most serious problems facing agriculture. </w:t>
      </w:r>
      <w:r w:rsidR="00181A6B">
        <w:rPr>
          <w:lang w:val="en-US"/>
        </w:rPr>
        <w:t>Salinity threatens the viability of agriculture as e</w:t>
      </w:r>
      <w:r>
        <w:rPr>
          <w:lang w:val="en-US"/>
        </w:rPr>
        <w:t xml:space="preserve">ach year more land becomes nonproductive and millions of hectares of land throughout the world are too saline to produce economic crop yields. </w:t>
      </w:r>
      <w:r w:rsidR="00602469">
        <w:rPr>
          <w:lang w:val="en-US"/>
        </w:rPr>
        <w:t xml:space="preserve">Unfortunately, large areas in the world as well as Greece remain untapped </w:t>
      </w:r>
      <w:r w:rsidR="00EB7673">
        <w:rPr>
          <w:lang w:val="en-US"/>
        </w:rPr>
        <w:t xml:space="preserve">due to salinization. </w:t>
      </w:r>
      <w:r w:rsidR="00602469">
        <w:rPr>
          <w:lang w:val="en-US"/>
        </w:rPr>
        <w:t>Fertilizer is one of the most crucial contributions that is being used to improve agricultural productivity.</w:t>
      </w:r>
      <w:r w:rsidR="00FA52D8">
        <w:rPr>
          <w:lang w:val="en-US"/>
        </w:rPr>
        <w:t xml:space="preserve"> This paper sought to </w:t>
      </w:r>
      <w:r w:rsidR="00627D96">
        <w:rPr>
          <w:lang w:val="en-US"/>
        </w:rPr>
        <w:t>elicit farmers’ willingness to pay for a new product in agricultural field.</w:t>
      </w:r>
      <w:r w:rsidR="00FA52D8">
        <w:rPr>
          <w:lang w:val="en-US"/>
        </w:rPr>
        <w:t xml:space="preserve"> </w:t>
      </w:r>
      <w:r w:rsidR="00627D96">
        <w:rPr>
          <w:lang w:val="en-US"/>
        </w:rPr>
        <w:t xml:space="preserve">To do so, we used a Contingent Valuation method to uncover the underlying preferences of Greek farmers for </w:t>
      </w:r>
      <w:r w:rsidR="00EB7673">
        <w:rPr>
          <w:lang w:val="en-US"/>
        </w:rPr>
        <w:t>two packages (1lt and 5lt) of an</w:t>
      </w:r>
      <w:r w:rsidR="00627D96">
        <w:rPr>
          <w:lang w:val="en-US"/>
        </w:rPr>
        <w:t xml:space="preserve"> innovative fertilizer against salinity.</w:t>
      </w:r>
      <w:r w:rsidR="004D2900">
        <w:rPr>
          <w:lang w:val="en-US"/>
        </w:rPr>
        <w:t xml:space="preserve"> </w:t>
      </w:r>
    </w:p>
    <w:p w14:paraId="004DCA02" w14:textId="1CF45775" w:rsidR="008275AF" w:rsidRDefault="004D2900" w:rsidP="00A8479A">
      <w:pPr>
        <w:jc w:val="both"/>
        <w:rPr>
          <w:lang w:val="en-US"/>
        </w:rPr>
      </w:pPr>
      <w:r>
        <w:rPr>
          <w:lang w:val="en-US"/>
        </w:rPr>
        <w:t xml:space="preserve">The </w:t>
      </w:r>
      <w:r w:rsidR="008275AF">
        <w:rPr>
          <w:lang w:val="en-US"/>
        </w:rPr>
        <w:t>survey</w:t>
      </w:r>
      <w:r w:rsidR="0081751C">
        <w:rPr>
          <w:lang w:val="en-US"/>
        </w:rPr>
        <w:t xml:space="preserve"> </w:t>
      </w:r>
      <w:r>
        <w:rPr>
          <w:lang w:val="en-US"/>
        </w:rPr>
        <w:t xml:space="preserve">result revealed </w:t>
      </w:r>
      <w:r w:rsidR="007C01A4">
        <w:rPr>
          <w:lang w:val="en-US"/>
        </w:rPr>
        <w:t xml:space="preserve">that 57.33% claimed that face salinity problems in their crops and the vast majority of these farmers (72.58%) have used a product to tackle this problem without great success regarding the effectiveness of the product. On average, </w:t>
      </w:r>
      <w:r w:rsidR="003C1FE3">
        <w:rPr>
          <w:lang w:val="en-US"/>
        </w:rPr>
        <w:t>farmers</w:t>
      </w:r>
      <w:r w:rsidR="007C01A4">
        <w:rPr>
          <w:lang w:val="en-US"/>
        </w:rPr>
        <w:t xml:space="preserve"> would be willing to pay </w:t>
      </w:r>
      <w:r w:rsidR="003C1FE3">
        <w:rPr>
          <w:lang w:val="en-US"/>
        </w:rPr>
        <w:t>22.91 €/</w:t>
      </w:r>
      <w:proofErr w:type="spellStart"/>
      <w:r w:rsidR="003C1FE3">
        <w:rPr>
          <w:lang w:val="en-US"/>
        </w:rPr>
        <w:t>lt</w:t>
      </w:r>
      <w:proofErr w:type="spellEnd"/>
      <w:r w:rsidR="003C1FE3">
        <w:rPr>
          <w:lang w:val="en-US"/>
        </w:rPr>
        <w:t xml:space="preserve">  </w:t>
      </w:r>
      <w:r w:rsidR="008159ED">
        <w:rPr>
          <w:lang w:val="en-US"/>
        </w:rPr>
        <w:t xml:space="preserve"> </w:t>
      </w:r>
      <w:r w:rsidR="00541A30">
        <w:rPr>
          <w:lang w:val="en-US"/>
        </w:rPr>
        <w:t xml:space="preserve">for an innovative </w:t>
      </w:r>
      <w:r w:rsidR="008159ED">
        <w:rPr>
          <w:lang w:val="en-US"/>
        </w:rPr>
        <w:t xml:space="preserve">fertilizer against salinity. They willing to pay on average </w:t>
      </w:r>
      <w:r w:rsidR="003C1FE3">
        <w:rPr>
          <w:lang w:val="en-US"/>
        </w:rPr>
        <w:t xml:space="preserve">17.94 € for the package of 1 </w:t>
      </w:r>
      <w:proofErr w:type="spellStart"/>
      <w:r w:rsidR="003C1FE3">
        <w:rPr>
          <w:lang w:val="en-US"/>
        </w:rPr>
        <w:t>lt</w:t>
      </w:r>
      <w:proofErr w:type="spellEnd"/>
      <w:r w:rsidR="003C1FE3">
        <w:rPr>
          <w:lang w:val="en-US"/>
        </w:rPr>
        <w:t xml:space="preserve"> and 27,88 € for the package of 5 lt. </w:t>
      </w:r>
      <w:r w:rsidR="007C01A4">
        <w:rPr>
          <w:lang w:val="en-US"/>
        </w:rPr>
        <w:t xml:space="preserve">  A</w:t>
      </w:r>
      <w:r w:rsidR="003C1FE3">
        <w:rPr>
          <w:lang w:val="en-US"/>
        </w:rPr>
        <w:t xml:space="preserve"> possible explanation for this </w:t>
      </w:r>
      <w:proofErr w:type="gramStart"/>
      <w:r w:rsidR="008159ED">
        <w:rPr>
          <w:lang w:val="en-US"/>
        </w:rPr>
        <w:t xml:space="preserve">awkward </w:t>
      </w:r>
      <w:r w:rsidR="003C1FE3">
        <w:rPr>
          <w:lang w:val="en-US"/>
        </w:rPr>
        <w:t xml:space="preserve"> result</w:t>
      </w:r>
      <w:proofErr w:type="gramEnd"/>
      <w:r w:rsidR="003C1FE3">
        <w:rPr>
          <w:lang w:val="en-US"/>
        </w:rPr>
        <w:t xml:space="preserve">  </w:t>
      </w:r>
      <w:r w:rsidR="007C01A4">
        <w:rPr>
          <w:lang w:val="en-US"/>
        </w:rPr>
        <w:t xml:space="preserve"> is that the under-valuation product that is examined in this study doesn’t exist in real market hence, it is possible that there are systematic differences between </w:t>
      </w:r>
      <w:r w:rsidR="003C1FE3">
        <w:rPr>
          <w:lang w:val="en-US"/>
        </w:rPr>
        <w:t>farmers’</w:t>
      </w:r>
      <w:r w:rsidR="007C01A4">
        <w:rPr>
          <w:lang w:val="en-US"/>
        </w:rPr>
        <w:t xml:space="preserve"> estimation of hypothetical product alternatives and the real options.</w:t>
      </w:r>
    </w:p>
    <w:p w14:paraId="692724E9" w14:textId="2B10B7EA" w:rsidR="00A8479A" w:rsidRPr="00CC446F" w:rsidRDefault="008159ED" w:rsidP="00A8479A">
      <w:pPr>
        <w:jc w:val="both"/>
        <w:rPr>
          <w:lang w:val="en-US"/>
        </w:rPr>
      </w:pPr>
      <w:r>
        <w:rPr>
          <w:lang w:val="en-US"/>
        </w:rPr>
        <w:t>Also, the econometric analysis indicates that</w:t>
      </w:r>
      <w:r w:rsidR="004D2900">
        <w:rPr>
          <w:lang w:val="en-US"/>
        </w:rPr>
        <w:t xml:space="preserve"> the most critical determi</w:t>
      </w:r>
      <w:r w:rsidR="00565695">
        <w:rPr>
          <w:lang w:val="en-US"/>
        </w:rPr>
        <w:t xml:space="preserve">nants </w:t>
      </w:r>
      <w:r w:rsidR="00C0584D">
        <w:rPr>
          <w:lang w:val="en-US"/>
        </w:rPr>
        <w:t>which had a positive effect on</w:t>
      </w:r>
      <w:r w:rsidR="004D2900">
        <w:rPr>
          <w:lang w:val="en-US"/>
        </w:rPr>
        <w:t xml:space="preserve"> </w:t>
      </w:r>
      <w:r w:rsidR="00C0584D">
        <w:rPr>
          <w:lang w:val="en-US"/>
        </w:rPr>
        <w:t xml:space="preserve">farmers’ </w:t>
      </w:r>
      <w:r w:rsidR="004D2900">
        <w:rPr>
          <w:lang w:val="en-US"/>
        </w:rPr>
        <w:t xml:space="preserve">willingness to pay for the fertilizer were </w:t>
      </w:r>
      <w:r w:rsidR="00C9124A">
        <w:rPr>
          <w:lang w:val="en-US"/>
        </w:rPr>
        <w:t xml:space="preserve">the </w:t>
      </w:r>
      <w:r w:rsidR="004D2900">
        <w:rPr>
          <w:lang w:val="en-US"/>
        </w:rPr>
        <w:t xml:space="preserve">level of </w:t>
      </w:r>
      <w:proofErr w:type="gramStart"/>
      <w:r w:rsidR="004D2900">
        <w:rPr>
          <w:lang w:val="en-US"/>
        </w:rPr>
        <w:t>education )</w:t>
      </w:r>
      <w:proofErr w:type="gramEnd"/>
      <w:r w:rsidR="004D2900">
        <w:rPr>
          <w:lang w:val="en-US"/>
        </w:rPr>
        <w:t>,</w:t>
      </w:r>
      <w:r w:rsidR="005F089A">
        <w:rPr>
          <w:lang w:val="en-US"/>
        </w:rPr>
        <w:t xml:space="preserve"> the</w:t>
      </w:r>
      <w:r w:rsidR="004D2900">
        <w:rPr>
          <w:lang w:val="en-US"/>
        </w:rPr>
        <w:t xml:space="preserve"> farm size</w:t>
      </w:r>
      <w:r>
        <w:rPr>
          <w:lang w:val="en-US"/>
        </w:rPr>
        <w:t xml:space="preserve"> and</w:t>
      </w:r>
      <w:r w:rsidR="004D2900">
        <w:rPr>
          <w:lang w:val="en-US"/>
        </w:rPr>
        <w:t xml:space="preserve"> </w:t>
      </w:r>
      <w:r w:rsidR="005F089A">
        <w:rPr>
          <w:lang w:val="en-US"/>
        </w:rPr>
        <w:t xml:space="preserve">the </w:t>
      </w:r>
      <w:r w:rsidR="00E94847">
        <w:rPr>
          <w:lang w:val="en-US"/>
        </w:rPr>
        <w:t>scale of knowledge about salinity</w:t>
      </w:r>
      <w:r>
        <w:rPr>
          <w:lang w:val="en-US"/>
        </w:rPr>
        <w:t>. It also emerges that</w:t>
      </w:r>
      <w:r w:rsidR="00E94847">
        <w:rPr>
          <w:lang w:val="en-US"/>
        </w:rPr>
        <w:t xml:space="preserve"> the liquid fertilizer package usually purchased by farmers</w:t>
      </w:r>
      <w:r>
        <w:rPr>
          <w:lang w:val="en-US"/>
        </w:rPr>
        <w:t xml:space="preserve"> and the</w:t>
      </w:r>
      <w:r w:rsidR="00E94847">
        <w:rPr>
          <w:lang w:val="en-US"/>
        </w:rPr>
        <w:t xml:space="preserve"> farmers’ perception of the extent in which they believe will influence with their responses</w:t>
      </w:r>
      <w:r>
        <w:rPr>
          <w:lang w:val="en-US"/>
        </w:rPr>
        <w:t xml:space="preserve"> are influenced positively farmers’ willingness to pay</w:t>
      </w:r>
      <w:r w:rsidR="0015057B">
        <w:rPr>
          <w:lang w:val="en-US"/>
        </w:rPr>
        <w:t>.</w:t>
      </w:r>
      <w:r w:rsidR="007362EA">
        <w:rPr>
          <w:lang w:val="en-US"/>
        </w:rPr>
        <w:t xml:space="preserve"> </w:t>
      </w:r>
      <w:r>
        <w:rPr>
          <w:lang w:val="en-US"/>
        </w:rPr>
        <w:t>In contrast, a</w:t>
      </w:r>
      <w:r w:rsidR="003A0CDD">
        <w:rPr>
          <w:lang w:val="en-US"/>
        </w:rPr>
        <w:t xml:space="preserve"> negative effect on willingness to pay was farmers’ perception of the extent in which they believe that the other respondents in the survey will overtake their responses.</w:t>
      </w:r>
      <w:r w:rsidR="00D66B60">
        <w:rPr>
          <w:lang w:val="en-US"/>
        </w:rPr>
        <w:t xml:space="preserve"> </w:t>
      </w:r>
      <w:r w:rsidR="00630B98">
        <w:rPr>
          <w:lang w:val="en-US"/>
        </w:rPr>
        <w:t>The fi</w:t>
      </w:r>
      <w:r w:rsidR="00796E7D">
        <w:rPr>
          <w:lang w:val="en-US"/>
        </w:rPr>
        <w:t xml:space="preserve">ndings of this research </w:t>
      </w:r>
      <w:r w:rsidR="00BE7C89">
        <w:rPr>
          <w:lang w:val="en-US"/>
        </w:rPr>
        <w:t>are encouraging</w:t>
      </w:r>
      <w:r w:rsidR="00FB2B5A">
        <w:rPr>
          <w:lang w:val="en-US"/>
        </w:rPr>
        <w:t xml:space="preserve"> for the industries of agricultural supplies </w:t>
      </w:r>
      <w:r w:rsidR="006C4A2A">
        <w:rPr>
          <w:lang w:val="en-US"/>
        </w:rPr>
        <w:t>that make an effort</w:t>
      </w:r>
      <w:r w:rsidR="0037244D">
        <w:rPr>
          <w:lang w:val="en-US"/>
        </w:rPr>
        <w:t xml:space="preserve"> to differentiate their products and are wondering if costs associated with product differentiation </w:t>
      </w:r>
      <w:r w:rsidR="00734002">
        <w:rPr>
          <w:lang w:val="en-US"/>
        </w:rPr>
        <w:t>can be recouped from potential customers.</w:t>
      </w:r>
      <w:r w:rsidR="00630B98">
        <w:rPr>
          <w:lang w:val="en-US"/>
        </w:rPr>
        <w:t xml:space="preserve"> </w:t>
      </w:r>
    </w:p>
    <w:p w14:paraId="199289A6" w14:textId="77777777" w:rsidR="00A25737" w:rsidRDefault="00A25737" w:rsidP="00322533">
      <w:pPr>
        <w:jc w:val="both"/>
        <w:rPr>
          <w:lang w:val="en-US"/>
        </w:rPr>
      </w:pPr>
    </w:p>
    <w:p w14:paraId="25B7673E" w14:textId="77777777" w:rsidR="00837CFD" w:rsidRDefault="00837CFD" w:rsidP="00322533">
      <w:pPr>
        <w:jc w:val="both"/>
        <w:rPr>
          <w:lang w:val="en-US"/>
        </w:rPr>
      </w:pPr>
    </w:p>
    <w:p w14:paraId="4F85D178" w14:textId="7BF8B23C" w:rsidR="00837CFD" w:rsidRPr="00CC446F" w:rsidRDefault="00837CFD" w:rsidP="00322533">
      <w:pPr>
        <w:jc w:val="both"/>
        <w:rPr>
          <w:b/>
          <w:lang w:val="en-US"/>
        </w:rPr>
      </w:pPr>
      <w:r w:rsidRPr="00CC446F">
        <w:rPr>
          <w:b/>
          <w:lang w:val="en-US"/>
        </w:rPr>
        <w:t>Acknowledgements</w:t>
      </w:r>
    </w:p>
    <w:p w14:paraId="66204FF1" w14:textId="578F648B" w:rsidR="00837CFD" w:rsidRPr="00CC446F" w:rsidRDefault="00837CFD" w:rsidP="00322533">
      <w:pPr>
        <w:jc w:val="both"/>
        <w:rPr>
          <w:lang w:val="en-US"/>
        </w:rPr>
        <w:sectPr w:rsidR="00837CFD" w:rsidRPr="00CC446F">
          <w:pgSz w:w="11906" w:h="16838"/>
          <w:pgMar w:top="1440" w:right="1800" w:bottom="1440" w:left="1800" w:header="708" w:footer="708" w:gutter="0"/>
          <w:cols w:space="708"/>
          <w:docGrid w:linePitch="360"/>
        </w:sectPr>
      </w:pPr>
      <w:r>
        <w:rPr>
          <w:lang w:val="en-US"/>
        </w:rPr>
        <w:t xml:space="preserve">The authors would like to thank </w:t>
      </w:r>
      <w:proofErr w:type="spellStart"/>
      <w:r>
        <w:rPr>
          <w:lang w:val="en-US"/>
        </w:rPr>
        <w:t>Mr</w:t>
      </w:r>
      <w:proofErr w:type="spellEnd"/>
      <w:r>
        <w:rPr>
          <w:lang w:val="en-US"/>
        </w:rPr>
        <w:t xml:space="preserve"> Dimitri </w:t>
      </w:r>
      <w:proofErr w:type="spellStart"/>
      <w:r>
        <w:rPr>
          <w:lang w:val="en-US"/>
        </w:rPr>
        <w:t>Drollias</w:t>
      </w:r>
      <w:proofErr w:type="spellEnd"/>
      <w:r>
        <w:rPr>
          <w:lang w:val="en-US"/>
        </w:rPr>
        <w:t xml:space="preserve"> from Compo Expert Hellas for his valuable help with the technical information regarding the product. Also, we would like to thank all the farmers who participate in the survey,</w:t>
      </w:r>
    </w:p>
    <w:p w14:paraId="6B9F123D" w14:textId="77777777" w:rsidR="00A25737" w:rsidRDefault="00A25737" w:rsidP="00DC4DA9">
      <w:pPr>
        <w:jc w:val="both"/>
        <w:outlineLvl w:val="0"/>
        <w:rPr>
          <w:b/>
          <w:lang w:val="en-US"/>
        </w:rPr>
      </w:pPr>
      <w:r w:rsidRPr="00A25737">
        <w:rPr>
          <w:b/>
          <w:lang w:val="en-US"/>
        </w:rPr>
        <w:lastRenderedPageBreak/>
        <w:t>Bibliography</w:t>
      </w:r>
    </w:p>
    <w:p w14:paraId="012BE75B" w14:textId="77777777" w:rsidR="00067E63" w:rsidRDefault="00067E63" w:rsidP="00946733">
      <w:pPr>
        <w:ind w:left="720" w:hanging="720"/>
        <w:jc w:val="both"/>
        <w:rPr>
          <w:lang w:val="en-US"/>
        </w:rPr>
      </w:pPr>
      <w:proofErr w:type="spellStart"/>
      <w:r>
        <w:rPr>
          <w:lang w:val="en-US"/>
        </w:rPr>
        <w:t>Aadland</w:t>
      </w:r>
      <w:proofErr w:type="spellEnd"/>
      <w:r>
        <w:rPr>
          <w:lang w:val="en-US"/>
        </w:rPr>
        <w:t xml:space="preserve">, D. and A. J. Caplan (2003). </w:t>
      </w:r>
      <w:r w:rsidR="00613E5E">
        <w:rPr>
          <w:lang w:val="en-US"/>
        </w:rPr>
        <w:t xml:space="preserve">Willingness to pay for curbside recycling with detection and mitigation of hypothetical bias. </w:t>
      </w:r>
      <w:r w:rsidR="00613E5E" w:rsidRPr="00613E5E">
        <w:rPr>
          <w:i/>
          <w:lang w:val="en-US"/>
        </w:rPr>
        <w:t>American Journal of Agricultural Economics 85</w:t>
      </w:r>
      <w:r w:rsidR="00613E5E">
        <w:rPr>
          <w:lang w:val="en-US"/>
        </w:rPr>
        <w:t xml:space="preserve"> (2), 492-502.</w:t>
      </w:r>
    </w:p>
    <w:p w14:paraId="14EEC587" w14:textId="77777777" w:rsidR="00A25737" w:rsidRDefault="009621B5" w:rsidP="00946733">
      <w:pPr>
        <w:ind w:left="720" w:hanging="720"/>
        <w:jc w:val="both"/>
        <w:rPr>
          <w:lang w:val="en-US"/>
        </w:rPr>
      </w:pPr>
      <w:proofErr w:type="spellStart"/>
      <w:r>
        <w:rPr>
          <w:lang w:val="en-US"/>
        </w:rPr>
        <w:t>Aadland</w:t>
      </w:r>
      <w:proofErr w:type="spellEnd"/>
      <w:r>
        <w:rPr>
          <w:lang w:val="en-US"/>
        </w:rPr>
        <w:t>, D.</w:t>
      </w:r>
      <w:r w:rsidR="00A9314A">
        <w:rPr>
          <w:lang w:val="en-US"/>
        </w:rPr>
        <w:t xml:space="preserve"> </w:t>
      </w:r>
      <w:r>
        <w:rPr>
          <w:lang w:val="en-US"/>
        </w:rPr>
        <w:t xml:space="preserve">and A. J. Caplan (2006). Cheap talk reconsidered: New evidence from CVM. </w:t>
      </w:r>
      <w:r w:rsidRPr="009E3A6F">
        <w:rPr>
          <w:i/>
          <w:lang w:val="en-US"/>
        </w:rPr>
        <w:t>Journal of Economic Behavior &amp; Organization 60</w:t>
      </w:r>
      <w:r w:rsidR="004517F4" w:rsidRPr="008F574B">
        <w:rPr>
          <w:i/>
          <w:lang w:val="en-US"/>
        </w:rPr>
        <w:t xml:space="preserve"> </w:t>
      </w:r>
      <w:r>
        <w:rPr>
          <w:lang w:val="en-US"/>
        </w:rPr>
        <w:t>(4), 562-578.</w:t>
      </w:r>
    </w:p>
    <w:p w14:paraId="56786D17" w14:textId="77777777" w:rsidR="00645EA2" w:rsidRDefault="00645EA2" w:rsidP="00946733">
      <w:pPr>
        <w:ind w:left="720" w:hanging="720"/>
        <w:jc w:val="both"/>
        <w:rPr>
          <w:lang w:val="en-US"/>
        </w:rPr>
      </w:pPr>
      <w:proofErr w:type="spellStart"/>
      <w:r>
        <w:rPr>
          <w:lang w:val="en-US"/>
        </w:rPr>
        <w:t>Abaidoo</w:t>
      </w:r>
      <w:proofErr w:type="spellEnd"/>
      <w:r>
        <w:rPr>
          <w:lang w:val="en-US"/>
        </w:rPr>
        <w:t xml:space="preserve">, R. C., B. </w:t>
      </w:r>
      <w:proofErr w:type="spellStart"/>
      <w:r>
        <w:rPr>
          <w:lang w:val="en-US"/>
        </w:rPr>
        <w:t>Keraita</w:t>
      </w:r>
      <w:proofErr w:type="spellEnd"/>
      <w:r>
        <w:rPr>
          <w:lang w:val="en-US"/>
        </w:rPr>
        <w:t xml:space="preserve">, E. </w:t>
      </w:r>
      <w:proofErr w:type="spellStart"/>
      <w:r w:rsidR="00CB1B4C">
        <w:rPr>
          <w:lang w:val="en-US"/>
        </w:rPr>
        <w:t>Oti</w:t>
      </w:r>
      <w:proofErr w:type="spellEnd"/>
      <w:r w:rsidR="00CB1B4C">
        <w:rPr>
          <w:lang w:val="en-US"/>
        </w:rPr>
        <w:t xml:space="preserve"> </w:t>
      </w:r>
      <w:proofErr w:type="spellStart"/>
      <w:r w:rsidR="00CB1B4C">
        <w:rPr>
          <w:lang w:val="en-US"/>
        </w:rPr>
        <w:t>Agyekum</w:t>
      </w:r>
      <w:proofErr w:type="spellEnd"/>
      <w:r w:rsidR="00CB1B4C">
        <w:rPr>
          <w:lang w:val="en-US"/>
        </w:rPr>
        <w:t>, K. Ohene-</w:t>
      </w:r>
      <w:proofErr w:type="spellStart"/>
      <w:r w:rsidR="00CB1B4C">
        <w:rPr>
          <w:lang w:val="en-US"/>
        </w:rPr>
        <w:t>Yankyera</w:t>
      </w:r>
      <w:proofErr w:type="spellEnd"/>
      <w:r w:rsidR="00CB1B4C">
        <w:rPr>
          <w:lang w:val="en-US"/>
        </w:rPr>
        <w:t>, and S. C.</w:t>
      </w:r>
      <w:r w:rsidR="00194681">
        <w:rPr>
          <w:lang w:val="en-US"/>
        </w:rPr>
        <w:t xml:space="preserve"> </w:t>
      </w:r>
      <w:proofErr w:type="spellStart"/>
      <w:r w:rsidR="00194681">
        <w:rPr>
          <w:lang w:val="en-US"/>
        </w:rPr>
        <w:t>Fialor</w:t>
      </w:r>
      <w:proofErr w:type="spellEnd"/>
      <w:r w:rsidR="00194681">
        <w:rPr>
          <w:lang w:val="en-US"/>
        </w:rPr>
        <w:t xml:space="preserve"> (2014). Willingness to pay for </w:t>
      </w:r>
      <w:proofErr w:type="spellStart"/>
      <w:r w:rsidR="00194681">
        <w:rPr>
          <w:lang w:val="en-US"/>
        </w:rPr>
        <w:t>faecal</w:t>
      </w:r>
      <w:proofErr w:type="spellEnd"/>
      <w:r w:rsidR="00194681">
        <w:rPr>
          <w:lang w:val="en-US"/>
        </w:rPr>
        <w:t xml:space="preserve"> compost by f</w:t>
      </w:r>
      <w:r w:rsidR="00CB1B4C">
        <w:rPr>
          <w:lang w:val="en-US"/>
        </w:rPr>
        <w:t xml:space="preserve">armers in Southern Ghana. </w:t>
      </w:r>
      <w:r w:rsidR="00CB1B4C" w:rsidRPr="00CB1B4C">
        <w:rPr>
          <w:i/>
          <w:lang w:val="en-US"/>
        </w:rPr>
        <w:t>Journal of Economics &amp; Sustainable Development 5</w:t>
      </w:r>
      <w:r w:rsidR="004517F4" w:rsidRPr="008F574B">
        <w:rPr>
          <w:i/>
          <w:lang w:val="en-US"/>
        </w:rPr>
        <w:t xml:space="preserve"> </w:t>
      </w:r>
      <w:r w:rsidR="00CB1B4C">
        <w:rPr>
          <w:lang w:val="en-US"/>
        </w:rPr>
        <w:t>(2), 18-25</w:t>
      </w:r>
      <w:r w:rsidR="008B057F">
        <w:rPr>
          <w:lang w:val="en-US"/>
        </w:rPr>
        <w:t>.</w:t>
      </w:r>
    </w:p>
    <w:p w14:paraId="49537825" w14:textId="77777777" w:rsidR="009E3A6F" w:rsidRDefault="00D23D1F" w:rsidP="00946733">
      <w:pPr>
        <w:ind w:left="720" w:hanging="720"/>
        <w:jc w:val="both"/>
        <w:rPr>
          <w:lang w:val="en-US"/>
        </w:rPr>
      </w:pPr>
      <w:proofErr w:type="spellStart"/>
      <w:r>
        <w:rPr>
          <w:lang w:val="en-US"/>
        </w:rPr>
        <w:t>Adamowicz</w:t>
      </w:r>
      <w:proofErr w:type="spellEnd"/>
      <w:r>
        <w:rPr>
          <w:lang w:val="en-US"/>
        </w:rPr>
        <w:t>, W., J.</w:t>
      </w:r>
      <w:r w:rsidR="009E3A6F">
        <w:rPr>
          <w:lang w:val="en-US"/>
        </w:rPr>
        <w:t xml:space="preserve"> Louviere,</w:t>
      </w:r>
      <w:r>
        <w:rPr>
          <w:lang w:val="en-US"/>
        </w:rPr>
        <w:t xml:space="preserve"> and M.</w:t>
      </w:r>
      <w:r w:rsidR="009E3A6F">
        <w:rPr>
          <w:lang w:val="en-US"/>
        </w:rPr>
        <w:t xml:space="preserve"> Williams</w:t>
      </w:r>
      <w:r>
        <w:rPr>
          <w:lang w:val="en-US"/>
        </w:rPr>
        <w:t xml:space="preserve"> (1994). Combining revealed and stated preference methods for v</w:t>
      </w:r>
      <w:r w:rsidR="00810C83">
        <w:rPr>
          <w:lang w:val="en-US"/>
        </w:rPr>
        <w:t xml:space="preserve">aluing environmental amenities. </w:t>
      </w:r>
      <w:r w:rsidRPr="00810C83">
        <w:rPr>
          <w:i/>
          <w:lang w:val="en-US"/>
        </w:rPr>
        <w:t>Journal</w:t>
      </w:r>
      <w:r w:rsidR="00810C83" w:rsidRPr="00810C83">
        <w:rPr>
          <w:i/>
          <w:lang w:val="en-US"/>
        </w:rPr>
        <w:t xml:space="preserve"> of Environmental Economics &amp; </w:t>
      </w:r>
      <w:r w:rsidRPr="00810C83">
        <w:rPr>
          <w:i/>
          <w:lang w:val="en-US"/>
        </w:rPr>
        <w:t>Management</w:t>
      </w:r>
      <w:r w:rsidR="00810C83" w:rsidRPr="00810C83">
        <w:rPr>
          <w:i/>
          <w:lang w:val="en-US"/>
        </w:rPr>
        <w:t xml:space="preserve"> 26</w:t>
      </w:r>
      <w:r w:rsidR="004517F4" w:rsidRPr="008F574B">
        <w:rPr>
          <w:i/>
          <w:lang w:val="en-US"/>
        </w:rPr>
        <w:t xml:space="preserve"> </w:t>
      </w:r>
      <w:r w:rsidR="00810C83">
        <w:rPr>
          <w:lang w:val="en-US"/>
        </w:rPr>
        <w:t>(3), 271-292</w:t>
      </w:r>
      <w:r w:rsidR="00645EA2">
        <w:rPr>
          <w:lang w:val="en-US"/>
        </w:rPr>
        <w:t>.</w:t>
      </w:r>
    </w:p>
    <w:p w14:paraId="2FC6CDA5" w14:textId="77777777" w:rsidR="008C154B" w:rsidRDefault="008C154B" w:rsidP="00946733">
      <w:pPr>
        <w:ind w:left="720" w:hanging="720"/>
        <w:jc w:val="both"/>
        <w:rPr>
          <w:lang w:val="en-US"/>
        </w:rPr>
      </w:pPr>
      <w:r>
        <w:rPr>
          <w:lang w:val="en-US"/>
        </w:rPr>
        <w:t xml:space="preserve">Adnan, N., S. M. </w:t>
      </w:r>
      <w:proofErr w:type="spellStart"/>
      <w:r>
        <w:rPr>
          <w:lang w:val="en-US"/>
        </w:rPr>
        <w:t>Nordin</w:t>
      </w:r>
      <w:proofErr w:type="spellEnd"/>
      <w:r>
        <w:rPr>
          <w:lang w:val="en-US"/>
        </w:rPr>
        <w:t xml:space="preserve">, I. Rahman, and A. Noor (2017). Adoption of green fertilizer technology among paddy farmers: A possible solution for Malaysian food security. </w:t>
      </w:r>
      <w:r w:rsidRPr="008C154B">
        <w:rPr>
          <w:i/>
          <w:lang w:val="en-US"/>
        </w:rPr>
        <w:t>Land Use Policy 63</w:t>
      </w:r>
      <w:r w:rsidR="00555E01">
        <w:rPr>
          <w:i/>
          <w:lang w:val="en-US"/>
        </w:rPr>
        <w:t xml:space="preserve">, </w:t>
      </w:r>
      <w:r w:rsidR="00555E01">
        <w:rPr>
          <w:lang w:val="en-US"/>
        </w:rPr>
        <w:t>38-52</w:t>
      </w:r>
      <w:r w:rsidR="00645EA2">
        <w:rPr>
          <w:lang w:val="en-US"/>
        </w:rPr>
        <w:t>.</w:t>
      </w:r>
    </w:p>
    <w:p w14:paraId="13CB9D7B" w14:textId="77777777" w:rsidR="00194681" w:rsidRDefault="00194681" w:rsidP="00442666">
      <w:pPr>
        <w:ind w:left="720" w:hanging="720"/>
        <w:jc w:val="both"/>
        <w:rPr>
          <w:lang w:val="en-US"/>
        </w:rPr>
      </w:pPr>
      <w:r w:rsidRPr="00442666">
        <w:rPr>
          <w:lang w:val="en-US"/>
        </w:rPr>
        <w:t xml:space="preserve">Arrow, K., R. Solow, P. R. </w:t>
      </w:r>
      <w:proofErr w:type="spellStart"/>
      <w:r w:rsidRPr="00442666">
        <w:rPr>
          <w:lang w:val="en-US"/>
        </w:rPr>
        <w:t>Portney</w:t>
      </w:r>
      <w:proofErr w:type="spellEnd"/>
      <w:r w:rsidRPr="00442666">
        <w:rPr>
          <w:lang w:val="en-US"/>
        </w:rPr>
        <w:t xml:space="preserve">, E. E. </w:t>
      </w:r>
      <w:proofErr w:type="spellStart"/>
      <w:r w:rsidRPr="00442666">
        <w:rPr>
          <w:lang w:val="en-US"/>
        </w:rPr>
        <w:t>Leamer</w:t>
      </w:r>
      <w:proofErr w:type="spellEnd"/>
      <w:r w:rsidRPr="00442666">
        <w:rPr>
          <w:lang w:val="en-US"/>
        </w:rPr>
        <w:t>, R. Radner, and H. Schu</w:t>
      </w:r>
      <w:r w:rsidR="00671320" w:rsidRPr="00442666">
        <w:rPr>
          <w:lang w:val="en-US"/>
        </w:rPr>
        <w:t>man (1993). Report of the NOOA p</w:t>
      </w:r>
      <w:r w:rsidRPr="00442666">
        <w:rPr>
          <w:lang w:val="en-US"/>
        </w:rPr>
        <w:t>ane</w:t>
      </w:r>
      <w:r w:rsidR="00671320" w:rsidRPr="00442666">
        <w:rPr>
          <w:lang w:val="en-US"/>
        </w:rPr>
        <w:t>l on contingent v</w:t>
      </w:r>
      <w:r w:rsidRPr="00442666">
        <w:rPr>
          <w:lang w:val="en-US"/>
        </w:rPr>
        <w:t>aluation</w:t>
      </w:r>
      <w:r w:rsidR="00671320" w:rsidRPr="00442666">
        <w:rPr>
          <w:lang w:val="en-US"/>
        </w:rPr>
        <w:t xml:space="preserve">. </w:t>
      </w:r>
      <w:r w:rsidR="00671320" w:rsidRPr="00442666">
        <w:rPr>
          <w:i/>
          <w:lang w:val="en-US"/>
        </w:rPr>
        <w:t>Federal Register 58</w:t>
      </w:r>
      <w:r w:rsidR="00555E01" w:rsidRPr="00442666">
        <w:rPr>
          <w:i/>
          <w:lang w:val="en-US"/>
        </w:rPr>
        <w:t xml:space="preserve">, </w:t>
      </w:r>
      <w:r w:rsidR="00555E01" w:rsidRPr="00442666">
        <w:rPr>
          <w:lang w:val="en-US"/>
        </w:rPr>
        <w:t>4601-4614</w:t>
      </w:r>
      <w:r w:rsidR="00671320" w:rsidRPr="00442666">
        <w:rPr>
          <w:lang w:val="en-US"/>
        </w:rPr>
        <w:t>.</w:t>
      </w:r>
      <w:r w:rsidR="00671320">
        <w:rPr>
          <w:lang w:val="en-US"/>
        </w:rPr>
        <w:t xml:space="preserve"> </w:t>
      </w:r>
    </w:p>
    <w:p w14:paraId="36118F26" w14:textId="77777777" w:rsidR="00265BE3" w:rsidRDefault="00265BE3" w:rsidP="00946733">
      <w:pPr>
        <w:ind w:left="720" w:hanging="720"/>
        <w:jc w:val="both"/>
        <w:rPr>
          <w:lang w:val="en-US"/>
        </w:rPr>
      </w:pPr>
      <w:proofErr w:type="spellStart"/>
      <w:r>
        <w:rPr>
          <w:lang w:val="en-US"/>
        </w:rPr>
        <w:t>Bakopoulou</w:t>
      </w:r>
      <w:proofErr w:type="spellEnd"/>
      <w:r>
        <w:rPr>
          <w:lang w:val="en-US"/>
        </w:rPr>
        <w:t xml:space="preserve">, S., S. </w:t>
      </w:r>
      <w:proofErr w:type="spellStart"/>
      <w:r>
        <w:rPr>
          <w:lang w:val="en-US"/>
        </w:rPr>
        <w:t>Polyzos</w:t>
      </w:r>
      <w:proofErr w:type="spellEnd"/>
      <w:r>
        <w:rPr>
          <w:lang w:val="en-US"/>
        </w:rPr>
        <w:t xml:space="preserve">, and A. </w:t>
      </w:r>
      <w:proofErr w:type="spellStart"/>
      <w:r>
        <w:rPr>
          <w:lang w:val="en-US"/>
        </w:rPr>
        <w:t>Kungolos</w:t>
      </w:r>
      <w:proofErr w:type="spellEnd"/>
      <w:r>
        <w:rPr>
          <w:lang w:val="en-US"/>
        </w:rPr>
        <w:t xml:space="preserve"> (2010). Investigation of farmers’ willingness to pay for using recycled water for irrigation in Thessaly region, Greece. </w:t>
      </w:r>
      <w:r w:rsidRPr="00383B43">
        <w:rPr>
          <w:i/>
          <w:lang w:val="en-US"/>
        </w:rPr>
        <w:t>Desalination 250</w:t>
      </w:r>
      <w:r>
        <w:rPr>
          <w:lang w:val="en-US"/>
        </w:rPr>
        <w:t xml:space="preserve"> (1), 329-334.</w:t>
      </w:r>
    </w:p>
    <w:p w14:paraId="48089A4E" w14:textId="77777777" w:rsidR="00AA54F2" w:rsidRDefault="00AA54F2" w:rsidP="00946733">
      <w:pPr>
        <w:ind w:left="720" w:hanging="720"/>
        <w:jc w:val="both"/>
        <w:rPr>
          <w:lang w:val="en-US"/>
        </w:rPr>
      </w:pPr>
      <w:r>
        <w:rPr>
          <w:lang w:val="en-US"/>
        </w:rPr>
        <w:t xml:space="preserve">Bishop, R. C. and T. A. </w:t>
      </w:r>
      <w:proofErr w:type="spellStart"/>
      <w:r>
        <w:rPr>
          <w:lang w:val="en-US"/>
        </w:rPr>
        <w:t>Heberlein</w:t>
      </w:r>
      <w:proofErr w:type="spellEnd"/>
      <w:r>
        <w:rPr>
          <w:lang w:val="en-US"/>
        </w:rPr>
        <w:t xml:space="preserve"> (1979). Measurin</w:t>
      </w:r>
      <w:r w:rsidR="00D21FF9">
        <w:rPr>
          <w:lang w:val="en-US"/>
        </w:rPr>
        <w:t xml:space="preserve">g values of </w:t>
      </w:r>
      <w:proofErr w:type="spellStart"/>
      <w:r w:rsidR="00D21FF9">
        <w:rPr>
          <w:lang w:val="en-US"/>
        </w:rPr>
        <w:t>extramarket</w:t>
      </w:r>
      <w:proofErr w:type="spellEnd"/>
      <w:r w:rsidR="00D21FF9">
        <w:rPr>
          <w:lang w:val="en-US"/>
        </w:rPr>
        <w:t xml:space="preserve"> goods: Are indirect measures biased? </w:t>
      </w:r>
      <w:r w:rsidR="009039E4">
        <w:rPr>
          <w:i/>
          <w:lang w:val="en-US"/>
        </w:rPr>
        <w:t>American J</w:t>
      </w:r>
      <w:r w:rsidR="00D21FF9" w:rsidRPr="00D21FF9">
        <w:rPr>
          <w:i/>
          <w:lang w:val="en-US"/>
        </w:rPr>
        <w:t xml:space="preserve">ournal of </w:t>
      </w:r>
      <w:r w:rsidR="009039E4">
        <w:rPr>
          <w:i/>
          <w:lang w:val="en-US"/>
        </w:rPr>
        <w:t>Agricultural E</w:t>
      </w:r>
      <w:r w:rsidR="00D21FF9" w:rsidRPr="00D21FF9">
        <w:rPr>
          <w:i/>
          <w:lang w:val="en-US"/>
        </w:rPr>
        <w:t>conomics 61</w:t>
      </w:r>
      <w:r w:rsidR="00D21FF9">
        <w:rPr>
          <w:lang w:val="en-US"/>
        </w:rPr>
        <w:t xml:space="preserve"> (5), 936-940.</w:t>
      </w:r>
    </w:p>
    <w:p w14:paraId="42D8F661" w14:textId="77777777" w:rsidR="00D73A56" w:rsidRDefault="00D73A56" w:rsidP="00946733">
      <w:pPr>
        <w:ind w:left="720" w:hanging="720"/>
        <w:jc w:val="both"/>
        <w:rPr>
          <w:lang w:val="en-US"/>
        </w:rPr>
      </w:pPr>
      <w:proofErr w:type="spellStart"/>
      <w:r>
        <w:rPr>
          <w:lang w:val="en-US"/>
        </w:rPr>
        <w:t>Bozorg</w:t>
      </w:r>
      <w:proofErr w:type="spellEnd"/>
      <w:r>
        <w:rPr>
          <w:lang w:val="en-US"/>
        </w:rPr>
        <w:t xml:space="preserve">-Haddad, O., M. </w:t>
      </w:r>
      <w:proofErr w:type="spellStart"/>
      <w:r>
        <w:rPr>
          <w:lang w:val="en-US"/>
        </w:rPr>
        <w:t>Malmir</w:t>
      </w:r>
      <w:proofErr w:type="spellEnd"/>
      <w:r>
        <w:rPr>
          <w:lang w:val="en-US"/>
        </w:rPr>
        <w:t xml:space="preserve">, S. Mohammad-Azari, and H. A. </w:t>
      </w:r>
      <w:proofErr w:type="spellStart"/>
      <w:r>
        <w:rPr>
          <w:lang w:val="en-US"/>
        </w:rPr>
        <w:t>Lo</w:t>
      </w:r>
      <w:bookmarkStart w:id="0" w:name="baut0020"/>
      <w:r w:rsidRPr="00D73A56">
        <w:fldChar w:fldCharType="begin"/>
      </w:r>
      <w:r w:rsidRPr="00D73A56">
        <w:rPr>
          <w:lang w:val="en-US"/>
        </w:rPr>
        <w:instrText xml:space="preserve"> HYPERLINK "https://www.sciencedirect.com/science/article/pii/S0378377416302955" \l "!" </w:instrText>
      </w:r>
      <w:r w:rsidRPr="00D73A56">
        <w:fldChar w:fldCharType="separate"/>
      </w:r>
      <w:r w:rsidRPr="00D73A56">
        <w:rPr>
          <w:rStyle w:val="Hyperlink"/>
          <w:color w:val="auto"/>
          <w:u w:val="none"/>
          <w:lang w:val="en-US"/>
        </w:rPr>
        <w:t>á</w:t>
      </w:r>
      <w:r w:rsidRPr="00D73A56">
        <w:rPr>
          <w:lang w:val="en-US"/>
        </w:rPr>
        <w:fldChar w:fldCharType="end"/>
      </w:r>
      <w:bookmarkEnd w:id="0"/>
      <w:r>
        <w:rPr>
          <w:lang w:val="en-US"/>
        </w:rPr>
        <w:t>iciga</w:t>
      </w:r>
      <w:proofErr w:type="spellEnd"/>
      <w:r>
        <w:rPr>
          <w:lang w:val="en-US"/>
        </w:rPr>
        <w:t xml:space="preserve"> (2016). Estimation of farmers’ willingness to pay for water in the agricultural sector. </w:t>
      </w:r>
      <w:r w:rsidRPr="00383B43">
        <w:rPr>
          <w:i/>
          <w:lang w:val="en-US"/>
        </w:rPr>
        <w:t>Agricultural Water Management</w:t>
      </w:r>
      <w:r w:rsidR="00383B43" w:rsidRPr="00383B43">
        <w:rPr>
          <w:i/>
          <w:lang w:val="en-US"/>
        </w:rPr>
        <w:t xml:space="preserve"> 177</w:t>
      </w:r>
      <w:r w:rsidR="00D71BDC">
        <w:rPr>
          <w:lang w:val="en-US"/>
        </w:rPr>
        <w:t>, 284-290</w:t>
      </w:r>
      <w:r w:rsidR="00383B43">
        <w:rPr>
          <w:lang w:val="en-US"/>
        </w:rPr>
        <w:t>.</w:t>
      </w:r>
    </w:p>
    <w:p w14:paraId="1C5C8B39" w14:textId="77777777" w:rsidR="00D73A56" w:rsidRDefault="00D73A56" w:rsidP="00946733">
      <w:pPr>
        <w:ind w:left="720" w:hanging="720"/>
        <w:jc w:val="both"/>
        <w:rPr>
          <w:lang w:val="en-US"/>
        </w:rPr>
      </w:pPr>
      <w:r w:rsidRPr="00812309">
        <w:rPr>
          <w:lang w:val="en-US"/>
        </w:rPr>
        <w:t xml:space="preserve">Brummett, R. G., R. M. </w:t>
      </w:r>
      <w:proofErr w:type="spellStart"/>
      <w:r w:rsidRPr="00812309">
        <w:rPr>
          <w:lang w:val="en-US"/>
        </w:rPr>
        <w:t>Nayga</w:t>
      </w:r>
      <w:proofErr w:type="spellEnd"/>
      <w:r w:rsidRPr="00812309">
        <w:rPr>
          <w:lang w:val="en-US"/>
        </w:rPr>
        <w:t xml:space="preserve">, and X. Wu (2007). On the use of cheap talk in new product valuation (2007). </w:t>
      </w:r>
      <w:r w:rsidRPr="00812309">
        <w:rPr>
          <w:i/>
          <w:lang w:val="en-US"/>
        </w:rPr>
        <w:t>Economics Bulletin 2</w:t>
      </w:r>
      <w:r w:rsidRPr="00812309">
        <w:rPr>
          <w:lang w:val="en-US"/>
        </w:rPr>
        <w:t xml:space="preserve"> (1), 1-9.</w:t>
      </w:r>
    </w:p>
    <w:p w14:paraId="5A1CB88F" w14:textId="77777777" w:rsidR="00693906" w:rsidRDefault="00693906" w:rsidP="00946733">
      <w:pPr>
        <w:ind w:left="720" w:hanging="720"/>
        <w:jc w:val="both"/>
        <w:rPr>
          <w:lang w:val="en-US"/>
        </w:rPr>
      </w:pPr>
      <w:proofErr w:type="spellStart"/>
      <w:r>
        <w:rPr>
          <w:lang w:val="en-US"/>
        </w:rPr>
        <w:t>Bulte</w:t>
      </w:r>
      <w:proofErr w:type="spellEnd"/>
      <w:r>
        <w:rPr>
          <w:lang w:val="en-US"/>
        </w:rPr>
        <w:t xml:space="preserve">, E., S. </w:t>
      </w:r>
      <w:proofErr w:type="spellStart"/>
      <w:r>
        <w:rPr>
          <w:lang w:val="en-US"/>
        </w:rPr>
        <w:t>Gerking</w:t>
      </w:r>
      <w:proofErr w:type="spellEnd"/>
      <w:r>
        <w:rPr>
          <w:lang w:val="en-US"/>
        </w:rPr>
        <w:t xml:space="preserve">, J. A. List, and A. de </w:t>
      </w:r>
      <w:proofErr w:type="spellStart"/>
      <w:r>
        <w:rPr>
          <w:lang w:val="en-US"/>
        </w:rPr>
        <w:t>Z</w:t>
      </w:r>
      <w:r w:rsidR="008B057F">
        <w:rPr>
          <w:lang w:val="en-US"/>
        </w:rPr>
        <w:t>eeuw</w:t>
      </w:r>
      <w:proofErr w:type="spellEnd"/>
      <w:r w:rsidR="008B057F">
        <w:rPr>
          <w:lang w:val="en-US"/>
        </w:rPr>
        <w:t xml:space="preserve"> (2005). The effect of varying the causes of environmental problems on stated </w:t>
      </w:r>
      <w:proofErr w:type="spellStart"/>
      <w:r w:rsidR="008B057F">
        <w:rPr>
          <w:lang w:val="en-US"/>
        </w:rPr>
        <w:t>wtp</w:t>
      </w:r>
      <w:proofErr w:type="spellEnd"/>
      <w:r w:rsidR="008B057F">
        <w:rPr>
          <w:lang w:val="en-US"/>
        </w:rPr>
        <w:t xml:space="preserve"> values: evidence from a field study. </w:t>
      </w:r>
      <w:r w:rsidR="008B057F" w:rsidRPr="008B057F">
        <w:rPr>
          <w:i/>
          <w:lang w:val="en-US"/>
        </w:rPr>
        <w:t>Journal of Environmental Economics and Management 49</w:t>
      </w:r>
      <w:r w:rsidR="004517F4" w:rsidRPr="008F574B">
        <w:rPr>
          <w:i/>
          <w:lang w:val="en-US"/>
        </w:rPr>
        <w:t xml:space="preserve"> </w:t>
      </w:r>
      <w:r w:rsidR="008B057F">
        <w:rPr>
          <w:lang w:val="en-US"/>
        </w:rPr>
        <w:t>(2), 330-342.</w:t>
      </w:r>
    </w:p>
    <w:p w14:paraId="0529EDC9" w14:textId="77777777" w:rsidR="007B35B7" w:rsidRDefault="00552136" w:rsidP="00946733">
      <w:pPr>
        <w:ind w:left="720" w:hanging="720"/>
        <w:jc w:val="both"/>
        <w:rPr>
          <w:lang w:val="en-US"/>
        </w:rPr>
      </w:pPr>
      <w:proofErr w:type="spellStart"/>
      <w:r>
        <w:rPr>
          <w:lang w:val="en-US"/>
        </w:rPr>
        <w:t>Calia</w:t>
      </w:r>
      <w:proofErr w:type="spellEnd"/>
      <w:r>
        <w:rPr>
          <w:lang w:val="en-US"/>
        </w:rPr>
        <w:t xml:space="preserve">, P. and </w:t>
      </w:r>
      <w:r w:rsidR="00644102">
        <w:rPr>
          <w:lang w:val="en-US"/>
        </w:rPr>
        <w:t xml:space="preserve">E. </w:t>
      </w:r>
      <w:proofErr w:type="spellStart"/>
      <w:r w:rsidR="00644102">
        <w:rPr>
          <w:lang w:val="en-US"/>
        </w:rPr>
        <w:t>Strazzera</w:t>
      </w:r>
      <w:proofErr w:type="spellEnd"/>
      <w:r w:rsidR="00644102">
        <w:rPr>
          <w:lang w:val="en-US"/>
        </w:rPr>
        <w:t xml:space="preserve"> (2000). Bias and efficiency of single versus double bound models for contingent valuation studies: a Monte Carlo analysis. </w:t>
      </w:r>
      <w:r w:rsidR="00644102" w:rsidRPr="00644102">
        <w:rPr>
          <w:i/>
          <w:lang w:val="en-US"/>
        </w:rPr>
        <w:t>Applied Economics 32</w:t>
      </w:r>
      <w:r w:rsidR="00644102">
        <w:rPr>
          <w:lang w:val="en-US"/>
        </w:rPr>
        <w:t xml:space="preserve"> (10), 1329-1336.</w:t>
      </w:r>
    </w:p>
    <w:p w14:paraId="54340AEF" w14:textId="77777777" w:rsidR="00DA6B4F" w:rsidRDefault="00BB7F96" w:rsidP="00946733">
      <w:pPr>
        <w:ind w:left="720" w:hanging="720"/>
        <w:jc w:val="both"/>
        <w:rPr>
          <w:lang w:val="en-US"/>
        </w:rPr>
      </w:pPr>
      <w:r>
        <w:rPr>
          <w:lang w:val="en-US"/>
        </w:rPr>
        <w:t xml:space="preserve">Carlsson, F., P. </w:t>
      </w:r>
      <w:proofErr w:type="spellStart"/>
      <w:r>
        <w:rPr>
          <w:lang w:val="en-US"/>
        </w:rPr>
        <w:t>Frykblom</w:t>
      </w:r>
      <w:proofErr w:type="spellEnd"/>
      <w:r>
        <w:rPr>
          <w:lang w:val="en-US"/>
        </w:rPr>
        <w:t xml:space="preserve">, and C. </w:t>
      </w:r>
      <w:proofErr w:type="spellStart"/>
      <w:r>
        <w:rPr>
          <w:lang w:val="en-US"/>
        </w:rPr>
        <w:t>Liljenstolpe</w:t>
      </w:r>
      <w:proofErr w:type="spellEnd"/>
      <w:r>
        <w:rPr>
          <w:lang w:val="en-US"/>
        </w:rPr>
        <w:t xml:space="preserve"> (2003). Valuing wetland attributes: an application of choice experiments. </w:t>
      </w:r>
      <w:r w:rsidRPr="00BB7F96">
        <w:rPr>
          <w:i/>
          <w:lang w:val="en-US"/>
        </w:rPr>
        <w:t>Ecological Economics 47</w:t>
      </w:r>
      <w:r>
        <w:rPr>
          <w:lang w:val="en-US"/>
        </w:rPr>
        <w:t xml:space="preserve"> (1), 95-103.</w:t>
      </w:r>
    </w:p>
    <w:p w14:paraId="2E94FDA8" w14:textId="77777777" w:rsidR="00BB7F96" w:rsidRDefault="006D624B" w:rsidP="00946733">
      <w:pPr>
        <w:ind w:left="720" w:hanging="720"/>
        <w:jc w:val="both"/>
        <w:rPr>
          <w:lang w:val="en-US"/>
        </w:rPr>
      </w:pPr>
      <w:r>
        <w:rPr>
          <w:lang w:val="en-US"/>
        </w:rPr>
        <w:t xml:space="preserve">Carlsson, F., P. </w:t>
      </w:r>
      <w:proofErr w:type="spellStart"/>
      <w:r>
        <w:rPr>
          <w:lang w:val="en-US"/>
        </w:rPr>
        <w:t>Frykblom</w:t>
      </w:r>
      <w:proofErr w:type="spellEnd"/>
      <w:r>
        <w:rPr>
          <w:lang w:val="en-US"/>
        </w:rPr>
        <w:t xml:space="preserve">, and C. J. Lagerkvist (2005). Using cheap talk as a test of validity in choice experiments. </w:t>
      </w:r>
      <w:r w:rsidRPr="006D624B">
        <w:rPr>
          <w:i/>
          <w:lang w:val="en-US"/>
        </w:rPr>
        <w:t>Economics Letters 89</w:t>
      </w:r>
      <w:r>
        <w:rPr>
          <w:lang w:val="en-US"/>
        </w:rPr>
        <w:t xml:space="preserve"> (2), 147-152.</w:t>
      </w:r>
    </w:p>
    <w:p w14:paraId="1255E910" w14:textId="77777777" w:rsidR="00396E0E" w:rsidRDefault="0021682B" w:rsidP="00946733">
      <w:pPr>
        <w:ind w:left="720" w:hanging="720"/>
        <w:jc w:val="both"/>
        <w:rPr>
          <w:lang w:val="en-US"/>
        </w:rPr>
      </w:pPr>
      <w:r>
        <w:rPr>
          <w:lang w:val="en-US"/>
        </w:rPr>
        <w:t xml:space="preserve">Carson, R. T., J. Wright, N. Carson, A. </w:t>
      </w:r>
      <w:proofErr w:type="spellStart"/>
      <w:r>
        <w:rPr>
          <w:lang w:val="en-US"/>
        </w:rPr>
        <w:t>Alberini</w:t>
      </w:r>
      <w:proofErr w:type="spellEnd"/>
      <w:r>
        <w:rPr>
          <w:lang w:val="en-US"/>
        </w:rPr>
        <w:t>, and N. Flores (1995). A bibliography of contingen</w:t>
      </w:r>
      <w:r w:rsidR="00D70287">
        <w:rPr>
          <w:lang w:val="en-US"/>
        </w:rPr>
        <w:t>t valuation papers and studies.</w:t>
      </w:r>
      <w:r w:rsidR="00936F4F" w:rsidRPr="00936F4F">
        <w:rPr>
          <w:lang w:val="en-US"/>
        </w:rPr>
        <w:t xml:space="preserve"> La Jolla, CA</w:t>
      </w:r>
      <w:r w:rsidR="00D70287">
        <w:rPr>
          <w:lang w:val="en-US"/>
        </w:rPr>
        <w:t>: NRDA, Inc.</w:t>
      </w:r>
    </w:p>
    <w:p w14:paraId="6F4AE998" w14:textId="77777777" w:rsidR="00116458" w:rsidRDefault="00116458" w:rsidP="00946733">
      <w:pPr>
        <w:ind w:left="720" w:hanging="720"/>
        <w:jc w:val="both"/>
        <w:rPr>
          <w:lang w:val="en-US"/>
        </w:rPr>
      </w:pPr>
      <w:r>
        <w:rPr>
          <w:lang w:val="en-US"/>
        </w:rPr>
        <w:lastRenderedPageBreak/>
        <w:t xml:space="preserve">Carson, R.T., N. E. Flores, and N. F. Meade (2001). Contingent valuation: Controversies and evidence. </w:t>
      </w:r>
      <w:r w:rsidRPr="00116458">
        <w:rPr>
          <w:i/>
          <w:lang w:val="en-US"/>
        </w:rPr>
        <w:t>Environmental and Resource Economics 19</w:t>
      </w:r>
      <w:r>
        <w:rPr>
          <w:lang w:val="en-US"/>
        </w:rPr>
        <w:t xml:space="preserve"> (2), 173-210.</w:t>
      </w:r>
    </w:p>
    <w:p w14:paraId="4291D226" w14:textId="77777777" w:rsidR="0003172B" w:rsidRDefault="0003172B" w:rsidP="00946733">
      <w:pPr>
        <w:ind w:left="720" w:hanging="720"/>
        <w:jc w:val="both"/>
        <w:rPr>
          <w:lang w:val="en-US"/>
        </w:rPr>
      </w:pPr>
      <w:r>
        <w:rPr>
          <w:lang w:val="en-US"/>
        </w:rPr>
        <w:t xml:space="preserve">Carson, R. T. and T. Groves (2007). Incentive and informational properties of preference questions. </w:t>
      </w:r>
      <w:r w:rsidRPr="0003172B">
        <w:rPr>
          <w:i/>
          <w:lang w:val="en-US"/>
        </w:rPr>
        <w:t>Environmental and Resource Economics 37</w:t>
      </w:r>
      <w:r>
        <w:rPr>
          <w:lang w:val="en-US"/>
        </w:rPr>
        <w:t xml:space="preserve"> (1), 181-210.</w:t>
      </w:r>
    </w:p>
    <w:p w14:paraId="5A3D623E" w14:textId="77777777" w:rsidR="00936F4F" w:rsidRDefault="00936F4F" w:rsidP="00372359">
      <w:pPr>
        <w:ind w:left="720" w:hanging="720"/>
        <w:jc w:val="both"/>
        <w:rPr>
          <w:lang w:val="en-US"/>
        </w:rPr>
      </w:pPr>
      <w:r w:rsidRPr="00372359">
        <w:rPr>
          <w:lang w:val="en-US"/>
        </w:rPr>
        <w:t>Carson, R.</w:t>
      </w:r>
      <w:r w:rsidR="00832D3E" w:rsidRPr="00372359">
        <w:rPr>
          <w:lang w:val="en-US"/>
        </w:rPr>
        <w:t xml:space="preserve"> </w:t>
      </w:r>
      <w:r w:rsidRPr="00372359">
        <w:rPr>
          <w:lang w:val="en-US"/>
        </w:rPr>
        <w:t xml:space="preserve">T., T. Groves, and J. A. List (2014). </w:t>
      </w:r>
      <w:r w:rsidR="00C60D04" w:rsidRPr="00372359">
        <w:rPr>
          <w:lang w:val="en-US"/>
        </w:rPr>
        <w:t xml:space="preserve">Consequentiality: a theoretical and experimental exploration of a single binary choice. </w:t>
      </w:r>
      <w:r w:rsidR="00C60D04" w:rsidRPr="00372359">
        <w:rPr>
          <w:i/>
          <w:lang w:val="en-US"/>
        </w:rPr>
        <w:t>Journal of the Association of Enviro</w:t>
      </w:r>
      <w:r w:rsidR="000C7A60" w:rsidRPr="00372359">
        <w:rPr>
          <w:i/>
          <w:lang w:val="en-US"/>
        </w:rPr>
        <w:t>nmental and Resource Economists</w:t>
      </w:r>
      <w:r w:rsidR="00C60D04" w:rsidRPr="00372359">
        <w:rPr>
          <w:i/>
          <w:lang w:val="en-US"/>
        </w:rPr>
        <w:t xml:space="preserve"> 1 </w:t>
      </w:r>
      <w:r w:rsidR="00C60D04" w:rsidRPr="00372359">
        <w:rPr>
          <w:lang w:val="en-US"/>
        </w:rPr>
        <w:t>(1/2), 171-207.</w:t>
      </w:r>
    </w:p>
    <w:p w14:paraId="711179BB" w14:textId="77777777" w:rsidR="00442B69" w:rsidRDefault="00442B69" w:rsidP="00946733">
      <w:pPr>
        <w:ind w:left="720" w:hanging="720"/>
        <w:jc w:val="both"/>
        <w:rPr>
          <w:lang w:val="en-US"/>
        </w:rPr>
      </w:pPr>
      <w:r>
        <w:rPr>
          <w:lang w:val="en-US"/>
        </w:rPr>
        <w:t>Carson, R. T., T. Groves.</w:t>
      </w:r>
      <w:r w:rsidR="001B014C">
        <w:rPr>
          <w:lang w:val="en-US"/>
        </w:rPr>
        <w:t>, and</w:t>
      </w:r>
      <w:r>
        <w:rPr>
          <w:lang w:val="en-US"/>
        </w:rPr>
        <w:t xml:space="preserve"> M. J. Machina</w:t>
      </w:r>
      <w:r w:rsidR="000C7A60">
        <w:rPr>
          <w:lang w:val="en-US"/>
        </w:rPr>
        <w:t xml:space="preserve"> (1997). Stated preference questions: context and optimal response. </w:t>
      </w:r>
      <w:r w:rsidR="000C7A60" w:rsidRPr="000C7A60">
        <w:rPr>
          <w:i/>
          <w:lang w:val="en-US"/>
        </w:rPr>
        <w:t>Paper presented at the National science foundation preference elicitation symposium, University of California, Berkeley</w:t>
      </w:r>
      <w:r w:rsidR="000C7A60">
        <w:rPr>
          <w:lang w:val="en-US"/>
        </w:rPr>
        <w:t>.</w:t>
      </w:r>
    </w:p>
    <w:p w14:paraId="3BB96A53" w14:textId="77777777" w:rsidR="00C02FF3" w:rsidRDefault="00C02FF3" w:rsidP="00946733">
      <w:pPr>
        <w:ind w:left="720" w:hanging="720"/>
        <w:jc w:val="both"/>
        <w:rPr>
          <w:lang w:val="en-US"/>
        </w:rPr>
      </w:pPr>
      <w:r>
        <w:rPr>
          <w:lang w:val="en-US"/>
        </w:rPr>
        <w:t xml:space="preserve">Champ, P. A., R. C. Bishop, T. C. Brown, and D. W. McCollum (1997). Using donation mechanisms to value nonuse benefits from public goods. </w:t>
      </w:r>
      <w:r w:rsidRPr="00C02FF3">
        <w:rPr>
          <w:i/>
          <w:lang w:val="en-US"/>
        </w:rPr>
        <w:t>Journal of Environmental Economics and Management 33</w:t>
      </w:r>
      <w:r>
        <w:rPr>
          <w:lang w:val="en-US"/>
        </w:rPr>
        <w:t xml:space="preserve"> (2), 151-162.</w:t>
      </w:r>
    </w:p>
    <w:p w14:paraId="67D16270" w14:textId="77777777" w:rsidR="0066468A" w:rsidRDefault="0066468A" w:rsidP="00946733">
      <w:pPr>
        <w:ind w:left="720" w:hanging="720"/>
        <w:jc w:val="both"/>
        <w:rPr>
          <w:lang w:val="en-US"/>
        </w:rPr>
      </w:pPr>
      <w:proofErr w:type="spellStart"/>
      <w:r>
        <w:rPr>
          <w:lang w:val="en-US"/>
        </w:rPr>
        <w:t>Ciriacy-Wantrup</w:t>
      </w:r>
      <w:proofErr w:type="spellEnd"/>
      <w:r>
        <w:rPr>
          <w:lang w:val="en-US"/>
        </w:rPr>
        <w:t xml:space="preserve">, S. V. (1947). Capital returns from soil-conservation practices. </w:t>
      </w:r>
      <w:r w:rsidRPr="0066468A">
        <w:rPr>
          <w:i/>
          <w:lang w:val="en-US"/>
        </w:rPr>
        <w:t>Journal of Farm Economics 29</w:t>
      </w:r>
      <w:r>
        <w:rPr>
          <w:lang w:val="en-US"/>
        </w:rPr>
        <w:t xml:space="preserve"> (4), 1181-1196.</w:t>
      </w:r>
    </w:p>
    <w:p w14:paraId="251D9007" w14:textId="77777777" w:rsidR="00804927" w:rsidRDefault="00804927" w:rsidP="00946733">
      <w:pPr>
        <w:ind w:left="720" w:hanging="720"/>
        <w:jc w:val="both"/>
        <w:rPr>
          <w:lang w:val="en-US"/>
        </w:rPr>
      </w:pPr>
      <w:proofErr w:type="spellStart"/>
      <w:r>
        <w:rPr>
          <w:lang w:val="en-US"/>
        </w:rPr>
        <w:t>Cohrane</w:t>
      </w:r>
      <w:proofErr w:type="spellEnd"/>
      <w:r>
        <w:rPr>
          <w:lang w:val="en-US"/>
        </w:rPr>
        <w:t>, W. W. (1979). The development of American agriculture: A historical analysis. The Annals University of Minnesota Press, Minneapolis.</w:t>
      </w:r>
    </w:p>
    <w:p w14:paraId="6CDF5115" w14:textId="77777777" w:rsidR="00F6758E" w:rsidRDefault="00F6758E" w:rsidP="00946733">
      <w:pPr>
        <w:ind w:left="720" w:hanging="720"/>
        <w:jc w:val="both"/>
        <w:rPr>
          <w:lang w:val="en-US"/>
        </w:rPr>
      </w:pPr>
      <w:r>
        <w:rPr>
          <w:lang w:val="en-US"/>
        </w:rPr>
        <w:t xml:space="preserve">Cummings, R. G. and L. O. Taylor (1999). Unbiased value estimates for environmental goods: a cheap talk design for the contingent valuation method. </w:t>
      </w:r>
      <w:r w:rsidRPr="00F6758E">
        <w:rPr>
          <w:i/>
          <w:lang w:val="en-US"/>
        </w:rPr>
        <w:t>American Economic Review 89</w:t>
      </w:r>
      <w:r w:rsidR="00936E9A">
        <w:rPr>
          <w:i/>
          <w:lang w:val="en-US"/>
        </w:rPr>
        <w:t xml:space="preserve"> </w:t>
      </w:r>
      <w:r w:rsidR="00936E9A">
        <w:rPr>
          <w:lang w:val="en-US"/>
        </w:rPr>
        <w:t>(3)</w:t>
      </w:r>
      <w:r>
        <w:rPr>
          <w:lang w:val="en-US"/>
        </w:rPr>
        <w:t>, 649-665.</w:t>
      </w:r>
    </w:p>
    <w:p w14:paraId="1DE143B1" w14:textId="77777777" w:rsidR="005D104B" w:rsidRDefault="005D104B" w:rsidP="00946733">
      <w:pPr>
        <w:ind w:left="720" w:hanging="720"/>
        <w:jc w:val="both"/>
        <w:rPr>
          <w:lang w:val="en-US"/>
        </w:rPr>
      </w:pPr>
      <w:proofErr w:type="spellStart"/>
      <w:r>
        <w:rPr>
          <w:lang w:val="en-US"/>
        </w:rPr>
        <w:t>Danso</w:t>
      </w:r>
      <w:proofErr w:type="spellEnd"/>
      <w:r>
        <w:rPr>
          <w:lang w:val="en-US"/>
        </w:rPr>
        <w:t xml:space="preserve">, G., P. </w:t>
      </w:r>
      <w:proofErr w:type="spellStart"/>
      <w:r>
        <w:rPr>
          <w:lang w:val="en-US"/>
        </w:rPr>
        <w:t>Drechsel</w:t>
      </w:r>
      <w:proofErr w:type="spellEnd"/>
      <w:r>
        <w:rPr>
          <w:lang w:val="en-US"/>
        </w:rPr>
        <w:t xml:space="preserve">, S. </w:t>
      </w:r>
      <w:proofErr w:type="spellStart"/>
      <w:r>
        <w:rPr>
          <w:lang w:val="en-US"/>
        </w:rPr>
        <w:t>Fialor</w:t>
      </w:r>
      <w:proofErr w:type="spellEnd"/>
      <w:r>
        <w:rPr>
          <w:lang w:val="en-US"/>
        </w:rPr>
        <w:t xml:space="preserve">, and M. Giordano (2006). Estimating the demand for municipal waste compost via farmers’ willingness-to-pay in Ghana. </w:t>
      </w:r>
      <w:r w:rsidRPr="005D104B">
        <w:rPr>
          <w:i/>
          <w:lang w:val="en-US"/>
        </w:rPr>
        <w:t>Waste management 26</w:t>
      </w:r>
      <w:r>
        <w:rPr>
          <w:lang w:val="en-US"/>
        </w:rPr>
        <w:t xml:space="preserve"> (12), 1400-1409.</w:t>
      </w:r>
    </w:p>
    <w:p w14:paraId="1A5010C6" w14:textId="3B6C677F" w:rsidR="00CA3B67" w:rsidRDefault="00CA3B67" w:rsidP="00946733">
      <w:pPr>
        <w:ind w:left="720" w:hanging="720"/>
        <w:jc w:val="both"/>
        <w:rPr>
          <w:lang w:val="en-US"/>
        </w:rPr>
      </w:pPr>
      <w:r>
        <w:rPr>
          <w:lang w:val="en-US"/>
        </w:rPr>
        <w:t>Davis, R. K. (196</w:t>
      </w:r>
      <w:r w:rsidR="009D575C">
        <w:rPr>
          <w:lang w:val="en-US"/>
        </w:rPr>
        <w:t>3</w:t>
      </w:r>
      <w:r>
        <w:rPr>
          <w:lang w:val="en-US"/>
        </w:rPr>
        <w:t>). The value of outdoor recreation: an economic study of the marine goods. PhD Thesis. Harvard University.</w:t>
      </w:r>
    </w:p>
    <w:p w14:paraId="7C952A06" w14:textId="1FD6CB45" w:rsidR="0043444A" w:rsidRDefault="0043444A" w:rsidP="00946733">
      <w:pPr>
        <w:ind w:left="720" w:hanging="720"/>
        <w:jc w:val="both"/>
        <w:rPr>
          <w:lang w:val="en-US"/>
        </w:rPr>
      </w:pPr>
      <w:proofErr w:type="spellStart"/>
      <w:r w:rsidRPr="0043444A">
        <w:rPr>
          <w:lang w:val="en-US"/>
        </w:rPr>
        <w:t>Drichoutis</w:t>
      </w:r>
      <w:proofErr w:type="spellEnd"/>
      <w:r w:rsidRPr="0043444A">
        <w:rPr>
          <w:lang w:val="en-US"/>
        </w:rPr>
        <w:t>, A. C., A. Vassilopoulos, J. L. Lusk</w:t>
      </w:r>
      <w:r>
        <w:rPr>
          <w:lang w:val="en-US"/>
        </w:rPr>
        <w:t xml:space="preserve"> (2014). </w:t>
      </w:r>
      <w:r w:rsidRPr="0043444A">
        <w:rPr>
          <w:lang w:val="en-US"/>
        </w:rPr>
        <w:t>Consumers' willingness to pay for agricultural products certified to ensure fair working conditions</w:t>
      </w:r>
      <w:r>
        <w:rPr>
          <w:lang w:val="en-US"/>
        </w:rPr>
        <w:t xml:space="preserve">. </w:t>
      </w:r>
      <w:r w:rsidRPr="00CC446F">
        <w:rPr>
          <w:i/>
          <w:lang w:val="en-US"/>
        </w:rPr>
        <w:t>latsis-foundation.org</w:t>
      </w:r>
      <w:r w:rsidR="009D575C">
        <w:rPr>
          <w:i/>
          <w:lang w:val="en-US"/>
        </w:rPr>
        <w:t>.</w:t>
      </w:r>
    </w:p>
    <w:p w14:paraId="28E2CB48" w14:textId="77777777" w:rsidR="000C7A60" w:rsidRDefault="000C7A60" w:rsidP="00946733">
      <w:pPr>
        <w:ind w:left="720" w:hanging="720"/>
        <w:jc w:val="both"/>
        <w:rPr>
          <w:lang w:val="en-US"/>
        </w:rPr>
      </w:pPr>
      <w:proofErr w:type="spellStart"/>
      <w:r>
        <w:rPr>
          <w:lang w:val="en-US"/>
        </w:rPr>
        <w:t>Drichoutis</w:t>
      </w:r>
      <w:proofErr w:type="spellEnd"/>
      <w:r>
        <w:rPr>
          <w:lang w:val="en-US"/>
        </w:rPr>
        <w:t xml:space="preserve">, A. C., A. Vassilopoulos, J. L. Lusk, and R. D. </w:t>
      </w:r>
      <w:proofErr w:type="spellStart"/>
      <w:r>
        <w:rPr>
          <w:lang w:val="en-US"/>
        </w:rPr>
        <w:t>Nayga</w:t>
      </w:r>
      <w:proofErr w:type="spellEnd"/>
      <w:r>
        <w:rPr>
          <w:lang w:val="en-US"/>
        </w:rPr>
        <w:t xml:space="preserve"> (2017). Consumer preferences for fair </w:t>
      </w:r>
      <w:proofErr w:type="spellStart"/>
      <w:r>
        <w:rPr>
          <w:lang w:val="en-US"/>
        </w:rPr>
        <w:t>labour</w:t>
      </w:r>
      <w:proofErr w:type="spellEnd"/>
      <w:r>
        <w:rPr>
          <w:lang w:val="en-US"/>
        </w:rPr>
        <w:t xml:space="preserve"> certification. </w:t>
      </w:r>
      <w:r w:rsidRPr="000C7A60">
        <w:rPr>
          <w:i/>
          <w:lang w:val="en-US"/>
        </w:rPr>
        <w:t>European Review of Agricultural Economics 44</w:t>
      </w:r>
      <w:r>
        <w:rPr>
          <w:i/>
          <w:lang w:val="en-US"/>
        </w:rPr>
        <w:t xml:space="preserve"> </w:t>
      </w:r>
      <w:r>
        <w:rPr>
          <w:lang w:val="en-US"/>
        </w:rPr>
        <w:t>(3), 455-474.</w:t>
      </w:r>
    </w:p>
    <w:p w14:paraId="4C2637A6" w14:textId="77777777" w:rsidR="00B72FF9" w:rsidRDefault="001B014C" w:rsidP="00946733">
      <w:pPr>
        <w:ind w:left="720" w:hanging="720"/>
        <w:jc w:val="both"/>
        <w:rPr>
          <w:lang w:val="en-US"/>
        </w:rPr>
      </w:pPr>
      <w:proofErr w:type="spellStart"/>
      <w:r>
        <w:rPr>
          <w:lang w:val="en-US"/>
        </w:rPr>
        <w:t>Etim</w:t>
      </w:r>
      <w:proofErr w:type="spellEnd"/>
      <w:r>
        <w:rPr>
          <w:lang w:val="en-US"/>
        </w:rPr>
        <w:t>, N. A.</w:t>
      </w:r>
      <w:r w:rsidR="000C5159">
        <w:rPr>
          <w:lang w:val="en-US"/>
        </w:rPr>
        <w:t xml:space="preserve"> A.</w:t>
      </w:r>
      <w:r>
        <w:rPr>
          <w:lang w:val="en-US"/>
        </w:rPr>
        <w:t xml:space="preserve"> and D. N. Benson (2016). Willingness to pay for organic fertilizer by resource poor vegetable farmers in the Humid Tropic. </w:t>
      </w:r>
      <w:r w:rsidRPr="001B014C">
        <w:rPr>
          <w:i/>
          <w:lang w:val="en-US"/>
        </w:rPr>
        <w:t>Journal of Agriculture and Ecology Research International 6</w:t>
      </w:r>
      <w:r>
        <w:rPr>
          <w:lang w:val="en-US"/>
        </w:rPr>
        <w:t xml:space="preserve"> (2), 1-11.</w:t>
      </w:r>
    </w:p>
    <w:p w14:paraId="36867681" w14:textId="77777777" w:rsidR="000C5159" w:rsidRDefault="000C5159" w:rsidP="00946733">
      <w:pPr>
        <w:ind w:left="720" w:hanging="720"/>
        <w:jc w:val="both"/>
        <w:rPr>
          <w:lang w:val="en-US"/>
        </w:rPr>
      </w:pPr>
      <w:proofErr w:type="spellStart"/>
      <w:r>
        <w:rPr>
          <w:lang w:val="en-US"/>
        </w:rPr>
        <w:t>Etim</w:t>
      </w:r>
      <w:proofErr w:type="spellEnd"/>
      <w:r>
        <w:rPr>
          <w:lang w:val="en-US"/>
        </w:rPr>
        <w:t xml:space="preserve">, N. A. A. and G. E. </w:t>
      </w:r>
      <w:proofErr w:type="spellStart"/>
      <w:r>
        <w:rPr>
          <w:lang w:val="en-US"/>
        </w:rPr>
        <w:t>Edet</w:t>
      </w:r>
      <w:proofErr w:type="spellEnd"/>
      <w:r>
        <w:rPr>
          <w:lang w:val="en-US"/>
        </w:rPr>
        <w:t xml:space="preserve"> (2013). Adoption of inorganic fertilizer by resource poor cassava farmers in Niger Delta region, Nigeria. </w:t>
      </w:r>
      <w:r w:rsidRPr="000C5159">
        <w:rPr>
          <w:i/>
          <w:lang w:val="en-US"/>
        </w:rPr>
        <w:t>International Journal of Agriculture Innovations and Research 2</w:t>
      </w:r>
      <w:r>
        <w:rPr>
          <w:lang w:val="en-US"/>
        </w:rPr>
        <w:t xml:space="preserve"> (1), 94-98.</w:t>
      </w:r>
    </w:p>
    <w:p w14:paraId="1128DE24" w14:textId="77777777" w:rsidR="001B014C" w:rsidRDefault="00405898" w:rsidP="00946733">
      <w:pPr>
        <w:ind w:left="720" w:hanging="720"/>
        <w:jc w:val="both"/>
        <w:rPr>
          <w:lang w:val="en-US"/>
        </w:rPr>
      </w:pPr>
      <w:r>
        <w:rPr>
          <w:lang w:val="en-US"/>
        </w:rPr>
        <w:t>FAO, Statistical Yearbook 2005-2006</w:t>
      </w:r>
      <w:r w:rsidR="00092B4E">
        <w:rPr>
          <w:lang w:val="en-US"/>
        </w:rPr>
        <w:t>.</w:t>
      </w:r>
    </w:p>
    <w:p w14:paraId="60C5A0F8" w14:textId="2D995CA8" w:rsidR="00197CBC" w:rsidRDefault="00197CBC" w:rsidP="00946733">
      <w:pPr>
        <w:ind w:left="720" w:hanging="720"/>
        <w:jc w:val="both"/>
        <w:rPr>
          <w:lang w:val="en-US"/>
        </w:rPr>
      </w:pPr>
      <w:r>
        <w:rPr>
          <w:lang w:val="en-US"/>
        </w:rPr>
        <w:t>FAO, Statistical Yearbook 2013.</w:t>
      </w:r>
    </w:p>
    <w:p w14:paraId="358B7D09" w14:textId="77777777" w:rsidR="00405898" w:rsidRDefault="00405898" w:rsidP="00946733">
      <w:pPr>
        <w:ind w:left="720" w:hanging="720"/>
        <w:jc w:val="both"/>
        <w:rPr>
          <w:lang w:val="en-US"/>
        </w:rPr>
      </w:pPr>
      <w:r>
        <w:rPr>
          <w:lang w:val="en-US"/>
        </w:rPr>
        <w:t>FAO, World Fertilizer trends and outlook to 2018, Rome (2015)</w:t>
      </w:r>
      <w:r w:rsidR="00092B4E">
        <w:rPr>
          <w:lang w:val="en-US"/>
        </w:rPr>
        <w:t>.</w:t>
      </w:r>
    </w:p>
    <w:p w14:paraId="7F43E05F" w14:textId="77777777" w:rsidR="00626089" w:rsidRDefault="00626089" w:rsidP="00FF55BC">
      <w:pPr>
        <w:ind w:left="720" w:hanging="720"/>
        <w:jc w:val="both"/>
        <w:rPr>
          <w:lang w:val="en-US"/>
        </w:rPr>
      </w:pPr>
      <w:r>
        <w:rPr>
          <w:lang w:val="en-US"/>
        </w:rPr>
        <w:lastRenderedPageBreak/>
        <w:t xml:space="preserve">Flowers, T. (2006). Preface. </w:t>
      </w:r>
      <w:r w:rsidRPr="00E744AD">
        <w:rPr>
          <w:i/>
          <w:lang w:val="en-US"/>
        </w:rPr>
        <w:t xml:space="preserve">Journal of Experimental Botany 57 </w:t>
      </w:r>
      <w:r>
        <w:rPr>
          <w:lang w:val="en-US"/>
        </w:rPr>
        <w:t>(5)</w:t>
      </w:r>
      <w:r w:rsidR="009B5F10">
        <w:rPr>
          <w:lang w:val="en-US"/>
        </w:rPr>
        <w:t>.</w:t>
      </w:r>
    </w:p>
    <w:p w14:paraId="5384F9F7" w14:textId="77777777" w:rsidR="00092B4E" w:rsidRDefault="00092B4E" w:rsidP="00946733">
      <w:pPr>
        <w:ind w:left="720" w:hanging="720"/>
        <w:jc w:val="both"/>
        <w:rPr>
          <w:lang w:val="en-US"/>
        </w:rPr>
      </w:pPr>
      <w:proofErr w:type="spellStart"/>
      <w:r>
        <w:rPr>
          <w:lang w:val="en-US"/>
        </w:rPr>
        <w:t>Frykblom</w:t>
      </w:r>
      <w:proofErr w:type="spellEnd"/>
      <w:r>
        <w:rPr>
          <w:lang w:val="en-US"/>
        </w:rPr>
        <w:t xml:space="preserve">, P. (1997). Hypothetical question modes and real willingness to pay. </w:t>
      </w:r>
      <w:r w:rsidRPr="00092B4E">
        <w:rPr>
          <w:i/>
          <w:lang w:val="en-US"/>
        </w:rPr>
        <w:t>Journal of Environmental Economics and Management 34</w:t>
      </w:r>
      <w:r>
        <w:rPr>
          <w:lang w:val="en-US"/>
        </w:rPr>
        <w:t xml:space="preserve"> (3), 275-287.</w:t>
      </w:r>
    </w:p>
    <w:p w14:paraId="389F0298" w14:textId="77777777" w:rsidR="00063F67" w:rsidRDefault="00D822D9" w:rsidP="00FF55BC">
      <w:pPr>
        <w:ind w:left="720" w:hanging="720"/>
        <w:jc w:val="both"/>
        <w:rPr>
          <w:lang w:val="en-US"/>
        </w:rPr>
      </w:pPr>
      <w:proofErr w:type="spellStart"/>
      <w:r>
        <w:rPr>
          <w:lang w:val="en-US"/>
        </w:rPr>
        <w:t>Ghassemi</w:t>
      </w:r>
      <w:proofErr w:type="spellEnd"/>
      <w:r>
        <w:rPr>
          <w:lang w:val="en-US"/>
        </w:rPr>
        <w:t xml:space="preserve">, F., A. J. </w:t>
      </w:r>
      <w:proofErr w:type="spellStart"/>
      <w:r>
        <w:rPr>
          <w:lang w:val="en-US"/>
        </w:rPr>
        <w:t>Jakeman</w:t>
      </w:r>
      <w:proofErr w:type="spellEnd"/>
      <w:r>
        <w:rPr>
          <w:lang w:val="en-US"/>
        </w:rPr>
        <w:t xml:space="preserve">, and H. A. Nix (1995). </w:t>
      </w:r>
      <w:proofErr w:type="spellStart"/>
      <w:r>
        <w:rPr>
          <w:lang w:val="en-US"/>
        </w:rPr>
        <w:t>Salinisation</w:t>
      </w:r>
      <w:proofErr w:type="spellEnd"/>
      <w:r>
        <w:rPr>
          <w:lang w:val="en-US"/>
        </w:rPr>
        <w:t xml:space="preserve"> of land and water resources: human causes, extent, management and case studies. </w:t>
      </w:r>
      <w:r w:rsidR="00AD0242">
        <w:rPr>
          <w:lang w:val="en-US"/>
        </w:rPr>
        <w:t>UNSW Press, Sydney, Australia, and CAB International, Wallingford, UK.</w:t>
      </w:r>
    </w:p>
    <w:p w14:paraId="44896D74" w14:textId="77777777" w:rsidR="005E7B9C" w:rsidRDefault="0097278E" w:rsidP="005E7B9C">
      <w:pPr>
        <w:ind w:left="720" w:hanging="720"/>
        <w:jc w:val="both"/>
        <w:rPr>
          <w:lang w:val="en-US"/>
        </w:rPr>
      </w:pPr>
      <w:r>
        <w:rPr>
          <w:lang w:val="en-US"/>
        </w:rPr>
        <w:t xml:space="preserve">Gil, J. M., A. Garcia, and M. Sanchez (2000). Market segmentation and willingness to pay for organic products in Spain. </w:t>
      </w:r>
      <w:r w:rsidRPr="0097278E">
        <w:rPr>
          <w:i/>
          <w:lang w:val="en-US"/>
        </w:rPr>
        <w:t>The International Food and Agribusiness Management Review 3</w:t>
      </w:r>
      <w:r>
        <w:rPr>
          <w:lang w:val="en-US"/>
        </w:rPr>
        <w:t xml:space="preserve"> (2), 207-226.</w:t>
      </w:r>
    </w:p>
    <w:p w14:paraId="07E5FD3A" w14:textId="77777777" w:rsidR="00A343A6" w:rsidRDefault="00A343A6" w:rsidP="005E7B9C">
      <w:pPr>
        <w:ind w:left="720" w:hanging="720"/>
        <w:jc w:val="both"/>
        <w:rPr>
          <w:rFonts w:cs="Open Sans"/>
          <w:color w:val="1C1D1E"/>
          <w:shd w:val="clear" w:color="auto" w:fill="FFFFFF"/>
          <w:lang w:val="en-US"/>
        </w:rPr>
      </w:pPr>
      <w:r>
        <w:rPr>
          <w:rFonts w:cs="Open Sans"/>
          <w:color w:val="1C1D1E"/>
          <w:shd w:val="clear" w:color="auto" w:fill="FFFFFF"/>
          <w:lang w:val="en-US"/>
        </w:rPr>
        <w:t>Grimm, P. (2010). Social Desirability</w:t>
      </w:r>
      <w:r w:rsidR="005E7B9C">
        <w:rPr>
          <w:rFonts w:cs="Open Sans"/>
          <w:color w:val="1C1D1E"/>
          <w:shd w:val="clear" w:color="auto" w:fill="FFFFFF"/>
          <w:lang w:val="en-US"/>
        </w:rPr>
        <w:t xml:space="preserve"> Bias. In Wiley International Encyclopedia of Marketing (eds J. </w:t>
      </w:r>
      <w:proofErr w:type="spellStart"/>
      <w:r w:rsidR="005E7B9C">
        <w:rPr>
          <w:rFonts w:cs="Open Sans"/>
          <w:color w:val="1C1D1E"/>
          <w:shd w:val="clear" w:color="auto" w:fill="FFFFFF"/>
          <w:lang w:val="en-US"/>
        </w:rPr>
        <w:t>Sheth</w:t>
      </w:r>
      <w:proofErr w:type="spellEnd"/>
      <w:r w:rsidR="005E7B9C">
        <w:rPr>
          <w:rFonts w:cs="Open Sans"/>
          <w:color w:val="1C1D1E"/>
          <w:shd w:val="clear" w:color="auto" w:fill="FFFFFF"/>
          <w:lang w:val="en-US"/>
        </w:rPr>
        <w:t xml:space="preserve"> and N. Malhotra)</w:t>
      </w:r>
    </w:p>
    <w:p w14:paraId="0BCAAFC2" w14:textId="77777777" w:rsidR="002B4854" w:rsidRPr="005E7B9C" w:rsidRDefault="002B4854" w:rsidP="005E7B9C">
      <w:pPr>
        <w:ind w:left="720" w:hanging="720"/>
        <w:jc w:val="both"/>
        <w:rPr>
          <w:lang w:val="en-US"/>
        </w:rPr>
      </w:pPr>
      <w:proofErr w:type="spellStart"/>
      <w:r>
        <w:rPr>
          <w:rFonts w:cs="Open Sans"/>
          <w:color w:val="1C1D1E"/>
          <w:shd w:val="clear" w:color="auto" w:fill="FFFFFF"/>
          <w:lang w:val="en-US"/>
        </w:rPr>
        <w:t>Hanemann</w:t>
      </w:r>
      <w:proofErr w:type="spellEnd"/>
      <w:r>
        <w:rPr>
          <w:rFonts w:cs="Open Sans"/>
          <w:color w:val="1C1D1E"/>
          <w:shd w:val="clear" w:color="auto" w:fill="FFFFFF"/>
          <w:lang w:val="en-US"/>
        </w:rPr>
        <w:t xml:space="preserve">, W. (1984). Welfare evaluations in contingent evaluation experiments with discrete responses: reply. </w:t>
      </w:r>
      <w:r w:rsidRPr="002B4854">
        <w:rPr>
          <w:rFonts w:cs="Open Sans"/>
          <w:i/>
          <w:color w:val="1C1D1E"/>
          <w:shd w:val="clear" w:color="auto" w:fill="FFFFFF"/>
          <w:lang w:val="en-US"/>
        </w:rPr>
        <w:t>American Journal of Agricultural Economics 69</w:t>
      </w:r>
      <w:r>
        <w:rPr>
          <w:rFonts w:cs="Open Sans"/>
          <w:color w:val="1C1D1E"/>
          <w:shd w:val="clear" w:color="auto" w:fill="FFFFFF"/>
          <w:lang w:val="en-US"/>
        </w:rPr>
        <w:t>, 332-341.</w:t>
      </w:r>
    </w:p>
    <w:p w14:paraId="001F65A3" w14:textId="77777777" w:rsidR="008F574B" w:rsidRDefault="008F574B" w:rsidP="00946733">
      <w:pPr>
        <w:ind w:left="720" w:hanging="720"/>
        <w:jc w:val="both"/>
        <w:rPr>
          <w:lang w:val="en-US"/>
        </w:rPr>
      </w:pPr>
      <w:proofErr w:type="spellStart"/>
      <w:r>
        <w:rPr>
          <w:lang w:val="en-US"/>
        </w:rPr>
        <w:t>Hanemann</w:t>
      </w:r>
      <w:proofErr w:type="spellEnd"/>
      <w:r>
        <w:rPr>
          <w:lang w:val="en-US"/>
        </w:rPr>
        <w:t xml:space="preserve">, W. M. (1994). Valuing the environment through contingent valuation. </w:t>
      </w:r>
      <w:r w:rsidRPr="003E661E">
        <w:rPr>
          <w:i/>
          <w:lang w:val="en-US"/>
        </w:rPr>
        <w:t>Journal of economic perspectives 8</w:t>
      </w:r>
      <w:r>
        <w:rPr>
          <w:lang w:val="en-US"/>
        </w:rPr>
        <w:t xml:space="preserve"> (4), 19-43.</w:t>
      </w:r>
    </w:p>
    <w:p w14:paraId="33812FAA" w14:textId="77777777" w:rsidR="000534AE" w:rsidRDefault="000534AE" w:rsidP="00946733">
      <w:pPr>
        <w:ind w:left="720" w:hanging="720"/>
        <w:jc w:val="both"/>
        <w:rPr>
          <w:lang w:val="en-US"/>
        </w:rPr>
      </w:pPr>
      <w:r>
        <w:rPr>
          <w:lang w:val="en-US"/>
        </w:rPr>
        <w:t>Hillel, D. (2000). Salinity management for sustaina</w:t>
      </w:r>
      <w:r w:rsidR="003B03EE">
        <w:rPr>
          <w:lang w:val="en-US"/>
        </w:rPr>
        <w:t xml:space="preserve">ble irrigation: </w:t>
      </w:r>
      <w:r>
        <w:rPr>
          <w:lang w:val="en-US"/>
        </w:rPr>
        <w:t>integrating science, environment, and economics. The World Bank, Washington, D. C.</w:t>
      </w:r>
    </w:p>
    <w:p w14:paraId="5E6526EE" w14:textId="77777777" w:rsidR="008F574B" w:rsidRDefault="009B5F10" w:rsidP="00946733">
      <w:pPr>
        <w:ind w:left="720" w:hanging="720"/>
        <w:jc w:val="both"/>
        <w:rPr>
          <w:lang w:val="en-US"/>
        </w:rPr>
      </w:pPr>
      <w:proofErr w:type="spellStart"/>
      <w:r>
        <w:rPr>
          <w:lang w:val="en-US"/>
        </w:rPr>
        <w:t>Hoyos</w:t>
      </w:r>
      <w:proofErr w:type="spellEnd"/>
      <w:r>
        <w:rPr>
          <w:lang w:val="en-US"/>
        </w:rPr>
        <w:t xml:space="preserve">, D. and P. Mariel (2010). Contingent valuation: Past, present and future. </w:t>
      </w:r>
      <w:proofErr w:type="spellStart"/>
      <w:r w:rsidRPr="009B5F10">
        <w:rPr>
          <w:i/>
          <w:lang w:val="en-US"/>
        </w:rPr>
        <w:t>Praque</w:t>
      </w:r>
      <w:proofErr w:type="spellEnd"/>
      <w:r w:rsidRPr="009B5F10">
        <w:rPr>
          <w:i/>
          <w:lang w:val="en-US"/>
        </w:rPr>
        <w:t xml:space="preserve"> economic papers 4</w:t>
      </w:r>
      <w:r w:rsidR="008831FD">
        <w:rPr>
          <w:lang w:val="en-US"/>
        </w:rPr>
        <w:t>, 329-343</w:t>
      </w:r>
      <w:r>
        <w:rPr>
          <w:lang w:val="en-US"/>
        </w:rPr>
        <w:t>.</w:t>
      </w:r>
    </w:p>
    <w:p w14:paraId="670C72A8" w14:textId="77777777" w:rsidR="009E057D" w:rsidRPr="000568B2" w:rsidRDefault="009E057D" w:rsidP="00946733">
      <w:pPr>
        <w:ind w:left="720" w:hanging="720"/>
        <w:jc w:val="both"/>
        <w:rPr>
          <w:lang w:val="en-US"/>
        </w:rPr>
      </w:pPr>
      <w:proofErr w:type="spellStart"/>
      <w:r w:rsidRPr="000568B2">
        <w:rPr>
          <w:lang w:val="en-US"/>
        </w:rPr>
        <w:t>Johannesson</w:t>
      </w:r>
      <w:proofErr w:type="spellEnd"/>
      <w:r w:rsidRPr="000568B2">
        <w:rPr>
          <w:lang w:val="en-US"/>
        </w:rPr>
        <w:t>, M.</w:t>
      </w:r>
      <w:r w:rsidR="008831FD" w:rsidRPr="000568B2">
        <w:rPr>
          <w:lang w:val="en-US"/>
        </w:rPr>
        <w:t xml:space="preserve">, B. Jonsson, and L. </w:t>
      </w:r>
      <w:proofErr w:type="spellStart"/>
      <w:r w:rsidR="008831FD" w:rsidRPr="000568B2">
        <w:rPr>
          <w:lang w:val="en-US"/>
        </w:rPr>
        <w:t>Borgquist</w:t>
      </w:r>
      <w:proofErr w:type="spellEnd"/>
      <w:r w:rsidR="008831FD" w:rsidRPr="000568B2">
        <w:rPr>
          <w:lang w:val="en-US"/>
        </w:rPr>
        <w:t xml:space="preserve"> (1991). Willingness to pay for antihypertensive therapy-results of a Swedish pilot study. </w:t>
      </w:r>
      <w:r w:rsidR="008831FD" w:rsidRPr="000568B2">
        <w:rPr>
          <w:i/>
          <w:lang w:val="en-US"/>
        </w:rPr>
        <w:t>Journal of Health Economics 10</w:t>
      </w:r>
      <w:r w:rsidR="008831FD" w:rsidRPr="000568B2">
        <w:rPr>
          <w:lang w:val="en-US"/>
        </w:rPr>
        <w:t xml:space="preserve"> (4), 461-473.</w:t>
      </w:r>
    </w:p>
    <w:p w14:paraId="289A145A" w14:textId="77777777" w:rsidR="009F404F" w:rsidRDefault="009F404F" w:rsidP="00946733">
      <w:pPr>
        <w:ind w:left="720" w:hanging="720"/>
        <w:jc w:val="both"/>
        <w:rPr>
          <w:lang w:val="en-US"/>
        </w:rPr>
      </w:pPr>
      <w:proofErr w:type="spellStart"/>
      <w:r w:rsidRPr="000568B2">
        <w:rPr>
          <w:lang w:val="en-US"/>
        </w:rPr>
        <w:t>Johannesson</w:t>
      </w:r>
      <w:proofErr w:type="spellEnd"/>
      <w:r w:rsidRPr="000568B2">
        <w:rPr>
          <w:lang w:val="en-US"/>
        </w:rPr>
        <w:t xml:space="preserve">, M., P. O. Johansson, B. </w:t>
      </w:r>
      <w:proofErr w:type="spellStart"/>
      <w:r w:rsidRPr="000568B2">
        <w:rPr>
          <w:lang w:val="en-US"/>
        </w:rPr>
        <w:t>Kriström</w:t>
      </w:r>
      <w:proofErr w:type="spellEnd"/>
      <w:r w:rsidRPr="000568B2">
        <w:rPr>
          <w:lang w:val="en-US"/>
        </w:rPr>
        <w:t xml:space="preserve">, and U. G. </w:t>
      </w:r>
      <w:proofErr w:type="spellStart"/>
      <w:r w:rsidRPr="000568B2">
        <w:rPr>
          <w:lang w:val="en-US"/>
        </w:rPr>
        <w:t>Gerd</w:t>
      </w:r>
      <w:r w:rsidR="00444F3B" w:rsidRPr="000568B2">
        <w:rPr>
          <w:lang w:val="en-US"/>
        </w:rPr>
        <w:t>tham</w:t>
      </w:r>
      <w:proofErr w:type="spellEnd"/>
      <w:r w:rsidR="00444F3B" w:rsidRPr="000568B2">
        <w:rPr>
          <w:lang w:val="en-US"/>
        </w:rPr>
        <w:t xml:space="preserve"> (1993). Willingness to pay for antihypertensive therapy-further results. </w:t>
      </w:r>
      <w:r w:rsidR="00444F3B" w:rsidRPr="000568B2">
        <w:rPr>
          <w:i/>
          <w:lang w:val="en-US"/>
        </w:rPr>
        <w:t>Journal of Health Economics 12</w:t>
      </w:r>
      <w:r w:rsidR="00444F3B" w:rsidRPr="000568B2">
        <w:rPr>
          <w:lang w:val="en-US"/>
        </w:rPr>
        <w:t xml:space="preserve"> (1), 95-108.</w:t>
      </w:r>
      <w:r>
        <w:rPr>
          <w:lang w:val="en-US"/>
        </w:rPr>
        <w:t xml:space="preserve"> </w:t>
      </w:r>
    </w:p>
    <w:p w14:paraId="40377314" w14:textId="77777777" w:rsidR="004003E2" w:rsidRDefault="004003E2" w:rsidP="00946733">
      <w:pPr>
        <w:ind w:left="720" w:hanging="720"/>
        <w:jc w:val="both"/>
        <w:rPr>
          <w:lang w:val="en-US"/>
        </w:rPr>
      </w:pPr>
      <w:r>
        <w:rPr>
          <w:lang w:val="en-US"/>
        </w:rPr>
        <w:t xml:space="preserve">King, M. and </w:t>
      </w:r>
      <w:proofErr w:type="spellStart"/>
      <w:r>
        <w:rPr>
          <w:lang w:val="en-US"/>
        </w:rPr>
        <w:t>Mazzotta</w:t>
      </w:r>
      <w:proofErr w:type="spellEnd"/>
      <w:r>
        <w:rPr>
          <w:lang w:val="en-US"/>
        </w:rPr>
        <w:t xml:space="preserve">, M. (2000). Contingent Valuation Method. [Online] Available: </w:t>
      </w:r>
      <w:hyperlink r:id="rId11" w:history="1">
        <w:r w:rsidRPr="00E91268">
          <w:rPr>
            <w:rStyle w:val="Hyperlink"/>
            <w:lang w:val="en-US"/>
          </w:rPr>
          <w:t>http://www.ecosystemvaluation.org/contingent_valuation.htm</w:t>
        </w:r>
      </w:hyperlink>
      <w:r>
        <w:rPr>
          <w:lang w:val="en-US"/>
        </w:rPr>
        <w:t>. (Accessed 10 June 2017)</w:t>
      </w:r>
    </w:p>
    <w:p w14:paraId="1FA77A92" w14:textId="77777777" w:rsidR="00B35C08" w:rsidRDefault="00B35C08" w:rsidP="00946733">
      <w:pPr>
        <w:ind w:left="720" w:hanging="720"/>
        <w:jc w:val="both"/>
        <w:rPr>
          <w:lang w:val="en-US"/>
        </w:rPr>
      </w:pPr>
      <w:proofErr w:type="spellStart"/>
      <w:r>
        <w:rPr>
          <w:lang w:val="en-US"/>
        </w:rPr>
        <w:t>Koundouri</w:t>
      </w:r>
      <w:proofErr w:type="spellEnd"/>
      <w:r>
        <w:rPr>
          <w:lang w:val="en-US"/>
        </w:rPr>
        <w:t xml:space="preserve">, P., C. </w:t>
      </w:r>
      <w:proofErr w:type="spellStart"/>
      <w:r>
        <w:rPr>
          <w:lang w:val="en-US"/>
        </w:rPr>
        <w:t>Nauges</w:t>
      </w:r>
      <w:proofErr w:type="spellEnd"/>
      <w:r>
        <w:rPr>
          <w:lang w:val="en-US"/>
        </w:rPr>
        <w:t xml:space="preserve">, and V. </w:t>
      </w:r>
      <w:proofErr w:type="spellStart"/>
      <w:r>
        <w:rPr>
          <w:lang w:val="en-US"/>
        </w:rPr>
        <w:t>Tzouvelekas</w:t>
      </w:r>
      <w:proofErr w:type="spellEnd"/>
      <w:r>
        <w:rPr>
          <w:lang w:val="en-US"/>
        </w:rPr>
        <w:t xml:space="preserve"> (2006). Technology adoption under production uncertainty: Theory and application</w:t>
      </w:r>
      <w:r w:rsidR="003E4A81">
        <w:rPr>
          <w:lang w:val="en-US"/>
        </w:rPr>
        <w:t xml:space="preserve"> to irrigation technology. </w:t>
      </w:r>
      <w:r w:rsidR="003E4A81" w:rsidRPr="00D053B8">
        <w:rPr>
          <w:i/>
          <w:lang w:val="en-US"/>
        </w:rPr>
        <w:t>American Journal of Agricultural Economics 88</w:t>
      </w:r>
      <w:r w:rsidR="003E4A81">
        <w:rPr>
          <w:lang w:val="en-US"/>
        </w:rPr>
        <w:t xml:space="preserve"> (3), 657-670.</w:t>
      </w:r>
    </w:p>
    <w:p w14:paraId="6CA26045" w14:textId="77777777" w:rsidR="002F3B5F" w:rsidRDefault="002F3B5F" w:rsidP="00946733">
      <w:pPr>
        <w:ind w:left="720" w:hanging="720"/>
        <w:jc w:val="both"/>
        <w:rPr>
          <w:lang w:val="en-US"/>
        </w:rPr>
      </w:pPr>
      <w:r>
        <w:rPr>
          <w:lang w:val="en-US"/>
        </w:rPr>
        <w:t xml:space="preserve">Landry, C. E. and J. A. List (2007). Using ex ante approaches to obtain credible signals for value </w:t>
      </w:r>
      <w:proofErr w:type="spellStart"/>
      <w:r>
        <w:rPr>
          <w:lang w:val="en-US"/>
        </w:rPr>
        <w:t>incontingent</w:t>
      </w:r>
      <w:proofErr w:type="spellEnd"/>
      <w:r>
        <w:rPr>
          <w:lang w:val="en-US"/>
        </w:rPr>
        <w:t xml:space="preserve"> markets: evidence from the field. </w:t>
      </w:r>
      <w:r w:rsidRPr="008D01DB">
        <w:rPr>
          <w:i/>
          <w:lang w:val="en-US"/>
        </w:rPr>
        <w:t>American Journal of Agricultural Economics 89</w:t>
      </w:r>
      <w:r>
        <w:rPr>
          <w:lang w:val="en-US"/>
        </w:rPr>
        <w:t xml:space="preserve"> (2), 420-429.</w:t>
      </w:r>
    </w:p>
    <w:p w14:paraId="18E9B710" w14:textId="77777777" w:rsidR="00334BE2" w:rsidRDefault="008B71C7" w:rsidP="00946733">
      <w:pPr>
        <w:ind w:left="720" w:hanging="720"/>
        <w:jc w:val="both"/>
        <w:rPr>
          <w:lang w:val="en-US"/>
        </w:rPr>
      </w:pPr>
      <w:proofErr w:type="spellStart"/>
      <w:r w:rsidRPr="000568B2">
        <w:rPr>
          <w:lang w:val="en-US"/>
        </w:rPr>
        <w:t>Läuchli</w:t>
      </w:r>
      <w:proofErr w:type="spellEnd"/>
      <w:r w:rsidRPr="000568B2">
        <w:rPr>
          <w:lang w:val="en-US"/>
        </w:rPr>
        <w:t xml:space="preserve">, A. and U. </w:t>
      </w:r>
      <w:proofErr w:type="spellStart"/>
      <w:r w:rsidRPr="000568B2">
        <w:rPr>
          <w:lang w:val="en-US"/>
        </w:rPr>
        <w:t>L</w:t>
      </w:r>
      <w:r w:rsidRPr="000568B2">
        <w:rPr>
          <w:bCs/>
          <w:lang w:val="en-US"/>
        </w:rPr>
        <w:t>ü</w:t>
      </w:r>
      <w:r w:rsidR="00334BE2" w:rsidRPr="000568B2">
        <w:rPr>
          <w:lang w:val="en-US"/>
        </w:rPr>
        <w:t>ttge</w:t>
      </w:r>
      <w:proofErr w:type="spellEnd"/>
      <w:r w:rsidR="00334BE2" w:rsidRPr="000568B2">
        <w:rPr>
          <w:lang w:val="en-US"/>
        </w:rPr>
        <w:t xml:space="preserve"> (2002). Salinity: Environment-plants-molecules. Kluwer Academic Publisher.</w:t>
      </w:r>
    </w:p>
    <w:p w14:paraId="296D7D97" w14:textId="77777777" w:rsidR="00F266E5" w:rsidRDefault="00F266E5" w:rsidP="00946733">
      <w:pPr>
        <w:ind w:left="720" w:hanging="720"/>
        <w:jc w:val="both"/>
        <w:rPr>
          <w:lang w:val="en-US"/>
        </w:rPr>
      </w:pPr>
      <w:r>
        <w:rPr>
          <w:lang w:val="en-US"/>
        </w:rPr>
        <w:t xml:space="preserve">Liu, J. T., J. K. </w:t>
      </w:r>
      <w:proofErr w:type="spellStart"/>
      <w:r>
        <w:rPr>
          <w:lang w:val="en-US"/>
        </w:rPr>
        <w:t>Hammitt</w:t>
      </w:r>
      <w:proofErr w:type="spellEnd"/>
      <w:r>
        <w:rPr>
          <w:lang w:val="en-US"/>
        </w:rPr>
        <w:t xml:space="preserve">, J. D. Wang, and J. L. Liu (2000). Mother’s willingness to pay for her own and her child’s health: a contingent valuation study in Taiwan. </w:t>
      </w:r>
      <w:r w:rsidRPr="00F266E5">
        <w:rPr>
          <w:i/>
          <w:lang w:val="en-US"/>
        </w:rPr>
        <w:t>Health Economics 9</w:t>
      </w:r>
      <w:r>
        <w:rPr>
          <w:lang w:val="en-US"/>
        </w:rPr>
        <w:t>, 319-326.</w:t>
      </w:r>
    </w:p>
    <w:p w14:paraId="3C7993E1" w14:textId="77777777" w:rsidR="004B7C8A" w:rsidRDefault="008D01DB" w:rsidP="00946733">
      <w:pPr>
        <w:ind w:left="720" w:hanging="720"/>
        <w:jc w:val="both"/>
        <w:rPr>
          <w:lang w:val="en-US"/>
        </w:rPr>
      </w:pPr>
      <w:r>
        <w:rPr>
          <w:lang w:val="en-US"/>
        </w:rPr>
        <w:lastRenderedPageBreak/>
        <w:t>List, J. A. (2001). Do explicit warnings eliminate the hypothetical bias in elicitation procedures?</w:t>
      </w:r>
      <w:r w:rsidR="00841791">
        <w:rPr>
          <w:lang w:val="en-US"/>
        </w:rPr>
        <w:t xml:space="preserve"> Evidence from field auctions for </w:t>
      </w:r>
      <w:proofErr w:type="spellStart"/>
      <w:r w:rsidR="00841791">
        <w:rPr>
          <w:lang w:val="en-US"/>
        </w:rPr>
        <w:t>sportscards</w:t>
      </w:r>
      <w:proofErr w:type="spellEnd"/>
      <w:r w:rsidR="00841791">
        <w:rPr>
          <w:lang w:val="en-US"/>
        </w:rPr>
        <w:t xml:space="preserve">. </w:t>
      </w:r>
      <w:r w:rsidR="00841791" w:rsidRPr="00841791">
        <w:rPr>
          <w:i/>
          <w:lang w:val="en-US"/>
        </w:rPr>
        <w:t>American economic review 91</w:t>
      </w:r>
      <w:r w:rsidR="00841791">
        <w:rPr>
          <w:lang w:val="en-US"/>
        </w:rPr>
        <w:t xml:space="preserve"> (5), 1498-1507.</w:t>
      </w:r>
    </w:p>
    <w:p w14:paraId="17844F05" w14:textId="77777777" w:rsidR="00672C4B" w:rsidRPr="002F3B5F" w:rsidRDefault="00672C4B" w:rsidP="00946733">
      <w:pPr>
        <w:ind w:left="720" w:hanging="720"/>
        <w:jc w:val="both"/>
        <w:rPr>
          <w:lang w:val="en-US"/>
        </w:rPr>
      </w:pPr>
      <w:r>
        <w:rPr>
          <w:lang w:val="en-US"/>
        </w:rPr>
        <w:t>List, J. A., P. Sinha, and M. H. Taylor (2006). Using choice experiments to value non-market goods and services: evidence from field experiments</w:t>
      </w:r>
      <w:r w:rsidR="002E1C29">
        <w:rPr>
          <w:lang w:val="en-US"/>
        </w:rPr>
        <w:t xml:space="preserve">. </w:t>
      </w:r>
      <w:r w:rsidR="002E1C29" w:rsidRPr="002E1C29">
        <w:rPr>
          <w:i/>
          <w:lang w:val="en-US"/>
        </w:rPr>
        <w:t>Advances in economic analysis and policy 5</w:t>
      </w:r>
      <w:r w:rsidR="002E1C29">
        <w:rPr>
          <w:lang w:val="en-US"/>
        </w:rPr>
        <w:t xml:space="preserve"> (2), 1-37.</w:t>
      </w:r>
    </w:p>
    <w:p w14:paraId="2441DB83" w14:textId="77777777" w:rsidR="00E640D8" w:rsidRDefault="00E640D8" w:rsidP="00946733">
      <w:pPr>
        <w:ind w:left="720" w:hanging="720"/>
        <w:jc w:val="both"/>
        <w:rPr>
          <w:lang w:val="en-US"/>
        </w:rPr>
      </w:pPr>
      <w:r>
        <w:rPr>
          <w:lang w:val="en-US"/>
        </w:rPr>
        <w:t xml:space="preserve">Lichtenberg, E. and R. Zimmerman (1999). Farmers’ willingness to pay for groundwater protection. </w:t>
      </w:r>
      <w:r w:rsidRPr="003E661E">
        <w:rPr>
          <w:i/>
          <w:lang w:val="en-US"/>
        </w:rPr>
        <w:t>Water Resources Research</w:t>
      </w:r>
      <w:r w:rsidR="00C227C1" w:rsidRPr="003E661E">
        <w:rPr>
          <w:i/>
          <w:lang w:val="en-US"/>
        </w:rPr>
        <w:t xml:space="preserve"> 35</w:t>
      </w:r>
      <w:r w:rsidR="00C227C1">
        <w:rPr>
          <w:lang w:val="en-US"/>
        </w:rPr>
        <w:t xml:space="preserve"> (3), 833-841.</w:t>
      </w:r>
    </w:p>
    <w:p w14:paraId="5DDAC508" w14:textId="77777777" w:rsidR="000E02D7" w:rsidRDefault="000E02D7" w:rsidP="00946733">
      <w:pPr>
        <w:ind w:left="720" w:hanging="720"/>
        <w:jc w:val="both"/>
        <w:rPr>
          <w:lang w:val="en-US"/>
        </w:rPr>
      </w:pPr>
      <w:proofErr w:type="spellStart"/>
      <w:r>
        <w:rPr>
          <w:lang w:val="en-US"/>
        </w:rPr>
        <w:t>Loureiro</w:t>
      </w:r>
      <w:proofErr w:type="spellEnd"/>
      <w:r>
        <w:rPr>
          <w:lang w:val="en-US"/>
        </w:rPr>
        <w:t xml:space="preserve">, M. L., J. B. Loomis, and M. X. Vasquez (2009). Economic valuation of environmental damages due to the prestige oil spill in Spain. </w:t>
      </w:r>
      <w:r w:rsidRPr="00174209">
        <w:rPr>
          <w:i/>
          <w:lang w:val="en-US"/>
        </w:rPr>
        <w:t>Environmental and Resource Economics</w:t>
      </w:r>
      <w:r w:rsidR="00174209" w:rsidRPr="00174209">
        <w:rPr>
          <w:i/>
          <w:lang w:val="en-US"/>
        </w:rPr>
        <w:t xml:space="preserve"> 44</w:t>
      </w:r>
      <w:r w:rsidR="00174209">
        <w:rPr>
          <w:lang w:val="en-US"/>
        </w:rPr>
        <w:t xml:space="preserve"> (4), 537-553.</w:t>
      </w:r>
    </w:p>
    <w:p w14:paraId="7C5A736F" w14:textId="77777777" w:rsidR="003644EE" w:rsidRDefault="003644EE" w:rsidP="00946733">
      <w:pPr>
        <w:ind w:left="720" w:hanging="720"/>
        <w:jc w:val="both"/>
        <w:rPr>
          <w:lang w:val="en-US"/>
        </w:rPr>
      </w:pPr>
      <w:r>
        <w:rPr>
          <w:lang w:val="en-US"/>
        </w:rPr>
        <w:t xml:space="preserve">Lusk, J. L. (2003). Effects of cheap talk on consumer willingness-to-pay for golden rice. </w:t>
      </w:r>
      <w:r w:rsidRPr="003644EE">
        <w:rPr>
          <w:i/>
          <w:lang w:val="en-US"/>
        </w:rPr>
        <w:t>American Journal of Agricultural Economics 85</w:t>
      </w:r>
      <w:r>
        <w:rPr>
          <w:lang w:val="en-US"/>
        </w:rPr>
        <w:t xml:space="preserve"> (4), 840-856.</w:t>
      </w:r>
    </w:p>
    <w:p w14:paraId="34F38E1E" w14:textId="77777777" w:rsidR="005A4F3C" w:rsidRDefault="005A4F3C" w:rsidP="00946733">
      <w:pPr>
        <w:ind w:left="720" w:hanging="720"/>
        <w:jc w:val="both"/>
        <w:rPr>
          <w:lang w:val="en-US"/>
        </w:rPr>
      </w:pPr>
      <w:r>
        <w:rPr>
          <w:lang w:val="en-US"/>
        </w:rPr>
        <w:t xml:space="preserve">Lusk, J. L. and F. B. Norwood (2009). Bridging the gap between laboratory experiments and naturally occurring markets: an inferred valuation method. </w:t>
      </w:r>
      <w:r w:rsidRPr="005A4F3C">
        <w:rPr>
          <w:i/>
          <w:lang w:val="en-US"/>
        </w:rPr>
        <w:t>Journal of Environmental Economics and Management 58</w:t>
      </w:r>
      <w:r>
        <w:rPr>
          <w:lang w:val="en-US"/>
        </w:rPr>
        <w:t xml:space="preserve"> (2), 236-250.</w:t>
      </w:r>
    </w:p>
    <w:p w14:paraId="07F04D67" w14:textId="77777777" w:rsidR="006B4DC3" w:rsidRDefault="006B4DC3" w:rsidP="00946733">
      <w:pPr>
        <w:ind w:left="720" w:hanging="720"/>
        <w:jc w:val="both"/>
        <w:rPr>
          <w:lang w:val="en-US"/>
        </w:rPr>
      </w:pPr>
      <w:r>
        <w:rPr>
          <w:lang w:val="en-US"/>
        </w:rPr>
        <w:t>Maas, V. and G. J. H</w:t>
      </w:r>
      <w:r w:rsidR="00397C27">
        <w:rPr>
          <w:lang w:val="en-US"/>
        </w:rPr>
        <w:t>off</w:t>
      </w:r>
      <w:r w:rsidR="00D053B8">
        <w:rPr>
          <w:lang w:val="en-US"/>
        </w:rPr>
        <w:t xml:space="preserve">man (1977). Crop salt tolerance </w:t>
      </w:r>
      <w:r w:rsidR="00397C27">
        <w:rPr>
          <w:lang w:val="en-US"/>
        </w:rPr>
        <w:t>–</w:t>
      </w:r>
      <w:r w:rsidR="00D053B8">
        <w:rPr>
          <w:lang w:val="en-US"/>
        </w:rPr>
        <w:t xml:space="preserve"> </w:t>
      </w:r>
      <w:r w:rsidR="00397C27">
        <w:rPr>
          <w:lang w:val="en-US"/>
        </w:rPr>
        <w:t xml:space="preserve">current assessment. </w:t>
      </w:r>
      <w:r w:rsidR="00397C27" w:rsidRPr="00397C27">
        <w:rPr>
          <w:i/>
          <w:lang w:val="en-US"/>
        </w:rPr>
        <w:t>Journal of the Irrigation and Drainage Division 103</w:t>
      </w:r>
      <w:r w:rsidR="00397C27">
        <w:rPr>
          <w:lang w:val="en-US"/>
        </w:rPr>
        <w:t xml:space="preserve"> (2), 115-134.</w:t>
      </w:r>
    </w:p>
    <w:p w14:paraId="23583050" w14:textId="77777777" w:rsidR="008976D9" w:rsidRDefault="008976D9" w:rsidP="00D7496B">
      <w:pPr>
        <w:ind w:left="720" w:hanging="720"/>
        <w:jc w:val="both"/>
        <w:rPr>
          <w:lang w:val="en-US"/>
        </w:rPr>
      </w:pPr>
      <w:r>
        <w:rPr>
          <w:lang w:val="en-US"/>
        </w:rPr>
        <w:t xml:space="preserve">Mitchell, R. C. and R. T. Carson (1989). Using </w:t>
      </w:r>
      <w:r w:rsidR="007D53F2">
        <w:rPr>
          <w:lang w:val="en-US"/>
        </w:rPr>
        <w:t>surveys to value public goods: T</w:t>
      </w:r>
      <w:r>
        <w:rPr>
          <w:lang w:val="en-US"/>
        </w:rPr>
        <w:t>he contingent valuation method. Johns Hopkins University Press, Baltimore.</w:t>
      </w:r>
    </w:p>
    <w:p w14:paraId="1CF50732" w14:textId="77777777" w:rsidR="008B71C7" w:rsidRDefault="008B71C7" w:rsidP="00946733">
      <w:pPr>
        <w:ind w:left="720" w:hanging="720"/>
        <w:jc w:val="both"/>
        <w:rPr>
          <w:lang w:val="en-US"/>
        </w:rPr>
      </w:pPr>
      <w:r>
        <w:rPr>
          <w:lang w:val="en-US"/>
        </w:rPr>
        <w:t xml:space="preserve">Munns, R. and M. Tester (2008). Mechanisms of salinity tolerance. </w:t>
      </w:r>
      <w:r w:rsidRPr="008B71C7">
        <w:rPr>
          <w:i/>
          <w:lang w:val="en-US"/>
        </w:rPr>
        <w:t>Annual Review of Plant Biology 59</w:t>
      </w:r>
      <w:r>
        <w:rPr>
          <w:lang w:val="en-US"/>
        </w:rPr>
        <w:t>, 651-681.</w:t>
      </w:r>
    </w:p>
    <w:p w14:paraId="513BA164" w14:textId="77777777" w:rsidR="003E661E" w:rsidRDefault="003E661E" w:rsidP="00946733">
      <w:pPr>
        <w:ind w:left="720" w:hanging="720"/>
        <w:jc w:val="both"/>
        <w:rPr>
          <w:lang w:val="en-US"/>
        </w:rPr>
      </w:pPr>
      <w:r>
        <w:rPr>
          <w:lang w:val="en-US"/>
        </w:rPr>
        <w:t xml:space="preserve">Murphy, J. (2012). The contribution of facilitated group learning to supporting innovation amongst farmers. </w:t>
      </w:r>
      <w:r w:rsidRPr="003E661E">
        <w:rPr>
          <w:i/>
          <w:lang w:val="en-US"/>
        </w:rPr>
        <w:t>Studies in Agricultural Economics 114</w:t>
      </w:r>
      <w:r>
        <w:rPr>
          <w:lang w:val="en-US"/>
        </w:rPr>
        <w:t>, 93-98.</w:t>
      </w:r>
    </w:p>
    <w:p w14:paraId="2BAA5619" w14:textId="77777777" w:rsidR="00D200EB" w:rsidRDefault="00D200EB" w:rsidP="00946733">
      <w:pPr>
        <w:ind w:left="720" w:hanging="720"/>
        <w:jc w:val="both"/>
        <w:rPr>
          <w:lang w:val="en-US"/>
        </w:rPr>
      </w:pPr>
      <w:r>
        <w:rPr>
          <w:lang w:val="en-US"/>
        </w:rPr>
        <w:t xml:space="preserve">Murphy, J. J., T. Stevens, and D. </w:t>
      </w:r>
      <w:proofErr w:type="spellStart"/>
      <w:r>
        <w:rPr>
          <w:lang w:val="en-US"/>
        </w:rPr>
        <w:t>Weatherhead</w:t>
      </w:r>
      <w:proofErr w:type="spellEnd"/>
      <w:r>
        <w:rPr>
          <w:lang w:val="en-US"/>
        </w:rPr>
        <w:t xml:space="preserve"> (2005). Is cheap talk effective at eliminating hypothetical bias in a provision point mechanism? </w:t>
      </w:r>
      <w:r w:rsidRPr="00D200EB">
        <w:rPr>
          <w:i/>
          <w:lang w:val="en-US"/>
        </w:rPr>
        <w:t>Environmental Resource and Economics 30</w:t>
      </w:r>
      <w:r>
        <w:rPr>
          <w:lang w:val="en-US"/>
        </w:rPr>
        <w:t xml:space="preserve"> (3), 327-343.</w:t>
      </w:r>
    </w:p>
    <w:p w14:paraId="56263C95" w14:textId="77777777" w:rsidR="003A0E78" w:rsidRDefault="003A0E78" w:rsidP="00946733">
      <w:pPr>
        <w:ind w:left="720" w:hanging="720"/>
        <w:jc w:val="both"/>
        <w:rPr>
          <w:lang w:val="en-US"/>
        </w:rPr>
      </w:pPr>
      <w:proofErr w:type="spellStart"/>
      <w:r w:rsidRPr="00D7496B">
        <w:rPr>
          <w:lang w:val="en-US"/>
        </w:rPr>
        <w:t>Paulhus</w:t>
      </w:r>
      <w:proofErr w:type="spellEnd"/>
      <w:r w:rsidRPr="00D7496B">
        <w:rPr>
          <w:lang w:val="en-US"/>
        </w:rPr>
        <w:t xml:space="preserve">, D. L. (1991). Measurement and control of response bias. </w:t>
      </w:r>
      <w:r w:rsidRPr="00D7496B">
        <w:rPr>
          <w:i/>
          <w:lang w:val="en-US"/>
        </w:rPr>
        <w:t>Measures of Personality and Social Psychological Attitudes 1</w:t>
      </w:r>
      <w:r w:rsidRPr="00D7496B">
        <w:rPr>
          <w:lang w:val="en-US"/>
        </w:rPr>
        <w:t>, 17-59.</w:t>
      </w:r>
    </w:p>
    <w:p w14:paraId="3A588FB1" w14:textId="77777777" w:rsidR="00434D8D" w:rsidRDefault="00434D8D" w:rsidP="00946733">
      <w:pPr>
        <w:ind w:left="720" w:hanging="720"/>
        <w:jc w:val="both"/>
        <w:rPr>
          <w:lang w:val="en-US"/>
        </w:rPr>
      </w:pPr>
      <w:r>
        <w:rPr>
          <w:lang w:val="en-US"/>
        </w:rPr>
        <w:t xml:space="preserve">Peltier, B. D. and L. A. Walsh (1990). An investigation of response bias in in the chapman scales. </w:t>
      </w:r>
      <w:r w:rsidRPr="00434D8D">
        <w:rPr>
          <w:i/>
          <w:lang w:val="en-US"/>
        </w:rPr>
        <w:t>Educational and Psychological Measurement 50</w:t>
      </w:r>
      <w:r>
        <w:rPr>
          <w:lang w:val="en-US"/>
        </w:rPr>
        <w:t xml:space="preserve"> (4), 803-815.</w:t>
      </w:r>
    </w:p>
    <w:p w14:paraId="51140341" w14:textId="77777777" w:rsidR="00A83EEE" w:rsidRDefault="00A83EEE" w:rsidP="00946733">
      <w:pPr>
        <w:ind w:left="720" w:hanging="720"/>
        <w:jc w:val="both"/>
        <w:rPr>
          <w:lang w:val="en-US"/>
        </w:rPr>
      </w:pPr>
      <w:r>
        <w:rPr>
          <w:lang w:val="en-US"/>
        </w:rPr>
        <w:t xml:space="preserve">Persson, U., </w:t>
      </w:r>
      <w:r w:rsidR="00251C45">
        <w:rPr>
          <w:lang w:val="en-US"/>
        </w:rPr>
        <w:t xml:space="preserve">A. </w:t>
      </w:r>
      <w:proofErr w:type="spellStart"/>
      <w:r w:rsidR="00251C45">
        <w:rPr>
          <w:lang w:val="en-US"/>
        </w:rPr>
        <w:t>Norinder</w:t>
      </w:r>
      <w:proofErr w:type="spellEnd"/>
      <w:r w:rsidR="00251C45">
        <w:rPr>
          <w:lang w:val="en-US"/>
        </w:rPr>
        <w:t xml:space="preserve">, K. </w:t>
      </w:r>
      <w:proofErr w:type="spellStart"/>
      <w:r w:rsidR="00251C45">
        <w:rPr>
          <w:lang w:val="en-US"/>
        </w:rPr>
        <w:t>Hjalte</w:t>
      </w:r>
      <w:proofErr w:type="spellEnd"/>
      <w:r w:rsidR="00251C45">
        <w:rPr>
          <w:lang w:val="en-US"/>
        </w:rPr>
        <w:t xml:space="preserve">, and K. </w:t>
      </w:r>
      <w:proofErr w:type="spellStart"/>
      <w:r w:rsidR="00251C45">
        <w:rPr>
          <w:lang w:val="en-US"/>
        </w:rPr>
        <w:t>G</w:t>
      </w:r>
      <w:r>
        <w:rPr>
          <w:lang w:val="en-US"/>
        </w:rPr>
        <w:t>ral</w:t>
      </w:r>
      <w:r w:rsidR="00251C45" w:rsidRPr="00251C45">
        <w:rPr>
          <w:lang w:val="en-US"/>
        </w:rPr>
        <w:t>é</w:t>
      </w:r>
      <w:r>
        <w:rPr>
          <w:lang w:val="en-US"/>
        </w:rPr>
        <w:t>n</w:t>
      </w:r>
      <w:proofErr w:type="spellEnd"/>
      <w:r>
        <w:rPr>
          <w:lang w:val="en-US"/>
        </w:rPr>
        <w:t xml:space="preserve"> </w:t>
      </w:r>
      <w:r w:rsidR="00251C45">
        <w:rPr>
          <w:lang w:val="en-US"/>
        </w:rPr>
        <w:t xml:space="preserve">(2001). The value of a statistical life in transport: findings from a new contingent valuation study in Sweden. </w:t>
      </w:r>
      <w:r w:rsidR="00251C45" w:rsidRPr="00251C45">
        <w:rPr>
          <w:i/>
          <w:lang w:val="en-US"/>
        </w:rPr>
        <w:t>Journal of Risk and Uncertainty 23</w:t>
      </w:r>
      <w:r w:rsidR="00251C45">
        <w:rPr>
          <w:lang w:val="en-US"/>
        </w:rPr>
        <w:t xml:space="preserve"> (2), 121-134.</w:t>
      </w:r>
    </w:p>
    <w:p w14:paraId="43212FC9" w14:textId="77777777" w:rsidR="00B851F1" w:rsidRDefault="00B851F1" w:rsidP="00946733">
      <w:pPr>
        <w:ind w:left="720" w:hanging="720"/>
        <w:jc w:val="both"/>
        <w:rPr>
          <w:lang w:val="en-US"/>
        </w:rPr>
      </w:pPr>
      <w:r>
        <w:rPr>
          <w:lang w:val="en-US"/>
        </w:rPr>
        <w:t xml:space="preserve">Phillips, D. L. and K. J. Clancy (1970). Response biases in field studies of mental illness. </w:t>
      </w:r>
      <w:r w:rsidRPr="00B851F1">
        <w:rPr>
          <w:i/>
          <w:lang w:val="en-US"/>
        </w:rPr>
        <w:t>American Sociological Review 35</w:t>
      </w:r>
      <w:r>
        <w:rPr>
          <w:lang w:val="en-US"/>
        </w:rPr>
        <w:t xml:space="preserve"> (3), 503-515.</w:t>
      </w:r>
    </w:p>
    <w:p w14:paraId="621F91D5" w14:textId="77777777" w:rsidR="00B851F1" w:rsidRDefault="00B851F1" w:rsidP="00946733">
      <w:pPr>
        <w:ind w:left="720" w:hanging="720"/>
        <w:jc w:val="both"/>
        <w:rPr>
          <w:lang w:val="en-US"/>
        </w:rPr>
      </w:pPr>
      <w:r>
        <w:rPr>
          <w:lang w:val="en-US"/>
        </w:rPr>
        <w:t xml:space="preserve">Phillips, D. L. and K. J. Clancy (1972). Some effects of ‘’social desirability’’ in survey studies. </w:t>
      </w:r>
      <w:r w:rsidRPr="00B851F1">
        <w:rPr>
          <w:i/>
          <w:lang w:val="en-US"/>
        </w:rPr>
        <w:t>American Journal of Sociology 77</w:t>
      </w:r>
      <w:r>
        <w:rPr>
          <w:lang w:val="en-US"/>
        </w:rPr>
        <w:t xml:space="preserve"> (5), 921-940.</w:t>
      </w:r>
    </w:p>
    <w:p w14:paraId="033B1287" w14:textId="77777777" w:rsidR="007465AC" w:rsidRDefault="007465AC" w:rsidP="0038073E">
      <w:pPr>
        <w:ind w:left="720" w:hanging="720"/>
        <w:jc w:val="both"/>
        <w:rPr>
          <w:lang w:val="en-US"/>
        </w:rPr>
      </w:pPr>
      <w:r>
        <w:rPr>
          <w:lang w:val="en-US"/>
        </w:rPr>
        <w:lastRenderedPageBreak/>
        <w:t>Potts, D. T. (1997). Mesopotamian civilization: the material foundations. THE ATHLONE PRESS, London.</w:t>
      </w:r>
    </w:p>
    <w:p w14:paraId="78F35A1C" w14:textId="77777777" w:rsidR="00AA54F2" w:rsidRDefault="003B03EE" w:rsidP="00AA54F2">
      <w:pPr>
        <w:ind w:left="720" w:hanging="720"/>
        <w:jc w:val="both"/>
        <w:rPr>
          <w:lang w:val="en-US"/>
        </w:rPr>
      </w:pPr>
      <w:proofErr w:type="spellStart"/>
      <w:r>
        <w:rPr>
          <w:lang w:val="en-US"/>
        </w:rPr>
        <w:t>Qaim</w:t>
      </w:r>
      <w:proofErr w:type="spellEnd"/>
      <w:r>
        <w:rPr>
          <w:lang w:val="en-US"/>
        </w:rPr>
        <w:t xml:space="preserve">, M. and A. de </w:t>
      </w:r>
      <w:proofErr w:type="spellStart"/>
      <w:r>
        <w:rPr>
          <w:lang w:val="en-US"/>
        </w:rPr>
        <w:t>Janvry</w:t>
      </w:r>
      <w:proofErr w:type="spellEnd"/>
      <w:r>
        <w:rPr>
          <w:lang w:val="en-US"/>
        </w:rPr>
        <w:t xml:space="preserve"> (2002). </w:t>
      </w:r>
      <w:proofErr w:type="spellStart"/>
      <w:r>
        <w:rPr>
          <w:lang w:val="en-US"/>
        </w:rPr>
        <w:t>Bt</w:t>
      </w:r>
      <w:proofErr w:type="spellEnd"/>
      <w:r>
        <w:rPr>
          <w:lang w:val="en-US"/>
        </w:rPr>
        <w:t xml:space="preserve"> cotton in Argentina: Analyzing adoption farmers’ willingness to pay. </w:t>
      </w:r>
      <w:r w:rsidRPr="003B03EE">
        <w:rPr>
          <w:i/>
          <w:lang w:val="en-US"/>
        </w:rPr>
        <w:t>American Agricultural Economics Association</w:t>
      </w:r>
      <w:r>
        <w:rPr>
          <w:lang w:val="en-US"/>
        </w:rPr>
        <w:t>, 1-27</w:t>
      </w:r>
      <w:r w:rsidR="00FC4784">
        <w:rPr>
          <w:lang w:val="en-US"/>
        </w:rPr>
        <w:t>.</w:t>
      </w:r>
    </w:p>
    <w:p w14:paraId="64271B2A" w14:textId="77777777" w:rsidR="0025361A" w:rsidRDefault="0025361A" w:rsidP="00946733">
      <w:pPr>
        <w:ind w:left="720" w:hanging="720"/>
        <w:jc w:val="both"/>
        <w:rPr>
          <w:lang w:val="en-US"/>
        </w:rPr>
      </w:pPr>
      <w:r w:rsidRPr="0070108B">
        <w:rPr>
          <w:lang w:val="en-US"/>
        </w:rPr>
        <w:t>Rogers, E. M. (2010). Diffusion of innovations</w:t>
      </w:r>
      <w:r w:rsidR="00BD689E" w:rsidRPr="0070108B">
        <w:rPr>
          <w:lang w:val="en-US"/>
        </w:rPr>
        <w:t>, THE FREE PRESS, New York</w:t>
      </w:r>
      <w:r w:rsidRPr="0070108B">
        <w:rPr>
          <w:lang w:val="en-US"/>
        </w:rPr>
        <w:t>.</w:t>
      </w:r>
      <w:r>
        <w:rPr>
          <w:lang w:val="en-US"/>
        </w:rPr>
        <w:t xml:space="preserve"> </w:t>
      </w:r>
    </w:p>
    <w:p w14:paraId="256AB2AD" w14:textId="77777777" w:rsidR="00BF0127" w:rsidRDefault="00FE5F14" w:rsidP="00BF0127">
      <w:pPr>
        <w:ind w:left="720" w:hanging="720"/>
        <w:jc w:val="both"/>
        <w:rPr>
          <w:lang w:val="en-US"/>
        </w:rPr>
      </w:pPr>
      <w:r>
        <w:rPr>
          <w:lang w:val="en-US"/>
        </w:rPr>
        <w:t xml:space="preserve">Ryan, M., D. A., Scott, and C. Donaldson (2004). Valuing health care using willingness to pay: a comparison of the payment card and dichotomous choice methods. </w:t>
      </w:r>
      <w:r w:rsidRPr="00FE5F14">
        <w:rPr>
          <w:i/>
          <w:lang w:val="en-US"/>
        </w:rPr>
        <w:t>Journal of Health Economics 23</w:t>
      </w:r>
      <w:r w:rsidR="00F351B2">
        <w:rPr>
          <w:i/>
          <w:lang w:val="en-US"/>
        </w:rPr>
        <w:t xml:space="preserve"> </w:t>
      </w:r>
      <w:r w:rsidR="00F351B2" w:rsidRPr="00F351B2">
        <w:rPr>
          <w:lang w:val="en-US"/>
        </w:rPr>
        <w:t>(2)</w:t>
      </w:r>
      <w:r>
        <w:rPr>
          <w:lang w:val="en-US"/>
        </w:rPr>
        <w:t>, 237-258.</w:t>
      </w:r>
    </w:p>
    <w:p w14:paraId="7F005854" w14:textId="77777777" w:rsidR="001050B5" w:rsidRDefault="001050B5" w:rsidP="00BF0127">
      <w:pPr>
        <w:ind w:left="720" w:hanging="720"/>
        <w:jc w:val="both"/>
        <w:rPr>
          <w:lang w:val="en-US"/>
        </w:rPr>
      </w:pPr>
      <w:r>
        <w:rPr>
          <w:lang w:val="en-US"/>
        </w:rPr>
        <w:t xml:space="preserve">Samuelson, P. A. (1954). The pure theory of public expenditure. </w:t>
      </w:r>
      <w:r w:rsidRPr="001050B5">
        <w:rPr>
          <w:i/>
          <w:lang w:val="en-US"/>
        </w:rPr>
        <w:t>The review of economics and statistics 36</w:t>
      </w:r>
      <w:r w:rsidR="00D053B8">
        <w:rPr>
          <w:lang w:val="en-US"/>
        </w:rPr>
        <w:t xml:space="preserve"> (4), 387-389</w:t>
      </w:r>
      <w:r>
        <w:rPr>
          <w:lang w:val="en-US"/>
        </w:rPr>
        <w:t>.</w:t>
      </w:r>
    </w:p>
    <w:p w14:paraId="61FE6D92" w14:textId="77777777" w:rsidR="00706740" w:rsidRDefault="00706740" w:rsidP="00946733">
      <w:pPr>
        <w:ind w:left="720" w:hanging="720"/>
        <w:jc w:val="both"/>
        <w:rPr>
          <w:lang w:val="en-US"/>
        </w:rPr>
      </w:pPr>
      <w:proofErr w:type="spellStart"/>
      <w:r>
        <w:rPr>
          <w:lang w:val="en-US"/>
        </w:rPr>
        <w:t>Santagata</w:t>
      </w:r>
      <w:proofErr w:type="spellEnd"/>
      <w:r>
        <w:rPr>
          <w:lang w:val="en-US"/>
        </w:rPr>
        <w:t xml:space="preserve">, W. and G. </w:t>
      </w:r>
      <w:proofErr w:type="spellStart"/>
      <w:r>
        <w:rPr>
          <w:lang w:val="en-US"/>
        </w:rPr>
        <w:t>Signorello</w:t>
      </w:r>
      <w:proofErr w:type="spellEnd"/>
      <w:r>
        <w:rPr>
          <w:lang w:val="en-US"/>
        </w:rPr>
        <w:t xml:space="preserve"> (2000). Contingent valuation of a cultural public good and policy design: The case of ‘’Napoli </w:t>
      </w:r>
      <w:proofErr w:type="spellStart"/>
      <w:r>
        <w:rPr>
          <w:lang w:val="en-US"/>
        </w:rPr>
        <w:t>musei</w:t>
      </w:r>
      <w:proofErr w:type="spellEnd"/>
      <w:r>
        <w:rPr>
          <w:lang w:val="en-US"/>
        </w:rPr>
        <w:t xml:space="preserve"> </w:t>
      </w:r>
      <w:proofErr w:type="spellStart"/>
      <w:r>
        <w:rPr>
          <w:lang w:val="en-US"/>
        </w:rPr>
        <w:t>aperti</w:t>
      </w:r>
      <w:proofErr w:type="spellEnd"/>
      <w:r>
        <w:rPr>
          <w:lang w:val="en-US"/>
        </w:rPr>
        <w:t xml:space="preserve">’’. </w:t>
      </w:r>
      <w:r w:rsidRPr="00706740">
        <w:rPr>
          <w:i/>
          <w:lang w:val="en-US"/>
        </w:rPr>
        <w:t>Journal of cultural economics 24</w:t>
      </w:r>
      <w:r>
        <w:rPr>
          <w:lang w:val="en-US"/>
        </w:rPr>
        <w:t xml:space="preserve"> (3), 181-204.</w:t>
      </w:r>
    </w:p>
    <w:p w14:paraId="5336A2DE" w14:textId="77777777" w:rsidR="00FC4784" w:rsidRDefault="00FC4784" w:rsidP="0070108B">
      <w:pPr>
        <w:ind w:left="720" w:hanging="720"/>
        <w:jc w:val="both"/>
        <w:rPr>
          <w:lang w:val="en-US"/>
        </w:rPr>
      </w:pPr>
      <w:proofErr w:type="spellStart"/>
      <w:r w:rsidRPr="0070108B">
        <w:rPr>
          <w:lang w:val="en-US"/>
        </w:rPr>
        <w:t>Sanginga</w:t>
      </w:r>
      <w:proofErr w:type="spellEnd"/>
      <w:r w:rsidRPr="0070108B">
        <w:rPr>
          <w:lang w:val="en-US"/>
        </w:rPr>
        <w:t>, P. C.</w:t>
      </w:r>
      <w:r w:rsidR="003B73B5">
        <w:rPr>
          <w:lang w:val="en-US"/>
        </w:rPr>
        <w:t xml:space="preserve"> </w:t>
      </w:r>
      <w:r w:rsidRPr="0070108B">
        <w:rPr>
          <w:lang w:val="en-US"/>
        </w:rPr>
        <w:t xml:space="preserve">(2009). Innovation Africa: enriching farmers’ livelihoods. </w:t>
      </w:r>
      <w:proofErr w:type="spellStart"/>
      <w:r w:rsidRPr="0070108B">
        <w:rPr>
          <w:lang w:val="en-US"/>
        </w:rPr>
        <w:t>earthscan</w:t>
      </w:r>
      <w:proofErr w:type="spellEnd"/>
      <w:r w:rsidRPr="0070108B">
        <w:rPr>
          <w:lang w:val="en-US"/>
        </w:rPr>
        <w:t>, London and Sterling, VA.</w:t>
      </w:r>
    </w:p>
    <w:p w14:paraId="65DA0818" w14:textId="77777777" w:rsidR="00946B12" w:rsidRDefault="00946B12" w:rsidP="00946733">
      <w:pPr>
        <w:ind w:left="720" w:hanging="720"/>
        <w:jc w:val="both"/>
        <w:rPr>
          <w:lang w:val="en-US"/>
        </w:rPr>
      </w:pPr>
      <w:proofErr w:type="spellStart"/>
      <w:r>
        <w:rPr>
          <w:lang w:val="en-US"/>
        </w:rPr>
        <w:t>St</w:t>
      </w:r>
      <w:r w:rsidRPr="00946B12">
        <w:rPr>
          <w:lang w:val="en-US"/>
        </w:rPr>
        <w:t>ö</w:t>
      </w:r>
      <w:r>
        <w:rPr>
          <w:lang w:val="en-US"/>
        </w:rPr>
        <w:t>ber</w:t>
      </w:r>
      <w:proofErr w:type="spellEnd"/>
      <w:r>
        <w:rPr>
          <w:lang w:val="en-US"/>
        </w:rPr>
        <w:t xml:space="preserve">, J. (2001). The social desirability scale-17 (sds-17): Convergent validity, discriminant validity, and relationship with age. </w:t>
      </w:r>
      <w:r w:rsidRPr="00946B12">
        <w:rPr>
          <w:i/>
          <w:lang w:val="en-US"/>
        </w:rPr>
        <w:t>European Journal of Psychological Assessment 17</w:t>
      </w:r>
      <w:r>
        <w:rPr>
          <w:lang w:val="en-US"/>
        </w:rPr>
        <w:t xml:space="preserve"> (3), 222-232.</w:t>
      </w:r>
    </w:p>
    <w:p w14:paraId="36C94A5A" w14:textId="77777777" w:rsidR="003F3173" w:rsidRDefault="003F3173" w:rsidP="00946733">
      <w:pPr>
        <w:ind w:left="720" w:hanging="720"/>
        <w:jc w:val="both"/>
        <w:rPr>
          <w:lang w:val="en-US"/>
        </w:rPr>
      </w:pPr>
      <w:r w:rsidRPr="009923FD">
        <w:rPr>
          <w:lang w:val="en-US"/>
        </w:rPr>
        <w:t xml:space="preserve">Uddin, E., Q. Gao, and M. Ur-Rashid (2016). Crop farmers’ willingness to pay for agricultural extension services in Bangladesh: Cases of selected villages in two important </w:t>
      </w:r>
      <w:proofErr w:type="spellStart"/>
      <w:r w:rsidRPr="009923FD">
        <w:rPr>
          <w:lang w:val="en-US"/>
        </w:rPr>
        <w:t>agro</w:t>
      </w:r>
      <w:proofErr w:type="spellEnd"/>
      <w:r w:rsidRPr="009923FD">
        <w:rPr>
          <w:lang w:val="en-US"/>
        </w:rPr>
        <w:t xml:space="preserve">-ecological zones. </w:t>
      </w:r>
      <w:r w:rsidRPr="009923FD">
        <w:rPr>
          <w:i/>
          <w:lang w:val="en-US"/>
        </w:rPr>
        <w:t>The Journal of Agricultural Education and Extension 22</w:t>
      </w:r>
      <w:r w:rsidRPr="009923FD">
        <w:rPr>
          <w:lang w:val="en-US"/>
        </w:rPr>
        <w:t xml:space="preserve"> (1), 43-60.</w:t>
      </w:r>
    </w:p>
    <w:p w14:paraId="170F4507" w14:textId="77777777" w:rsidR="0034348C" w:rsidRDefault="0034348C" w:rsidP="009923FD">
      <w:pPr>
        <w:ind w:left="720" w:hanging="720"/>
        <w:jc w:val="both"/>
        <w:rPr>
          <w:lang w:val="en-US"/>
        </w:rPr>
      </w:pPr>
      <w:proofErr w:type="spellStart"/>
      <w:r>
        <w:rPr>
          <w:lang w:val="en-US"/>
        </w:rPr>
        <w:t>Ulimwengu</w:t>
      </w:r>
      <w:proofErr w:type="spellEnd"/>
      <w:r>
        <w:rPr>
          <w:lang w:val="en-US"/>
        </w:rPr>
        <w:t xml:space="preserve">, J. and P. </w:t>
      </w:r>
      <w:proofErr w:type="spellStart"/>
      <w:r>
        <w:rPr>
          <w:lang w:val="en-US"/>
        </w:rPr>
        <w:t>Sanyal</w:t>
      </w:r>
      <w:proofErr w:type="spellEnd"/>
      <w:r>
        <w:rPr>
          <w:lang w:val="en-US"/>
        </w:rPr>
        <w:t xml:space="preserve"> (2011). Joint estimation of farmers’ willingness to pay for agricultural services. </w:t>
      </w:r>
      <w:r w:rsidR="009203AE">
        <w:rPr>
          <w:lang w:val="en-US"/>
        </w:rPr>
        <w:t xml:space="preserve">Discussion Paper </w:t>
      </w:r>
      <w:r w:rsidRPr="0034348C">
        <w:rPr>
          <w:i/>
          <w:lang w:val="en-US"/>
        </w:rPr>
        <w:t>International Food Policy Research Institute</w:t>
      </w:r>
      <w:r>
        <w:rPr>
          <w:lang w:val="en-US"/>
        </w:rPr>
        <w:t>, 1-18</w:t>
      </w:r>
    </w:p>
    <w:p w14:paraId="358F504D" w14:textId="77777777" w:rsidR="00D559BB" w:rsidRDefault="00D559BB" w:rsidP="00946733">
      <w:pPr>
        <w:ind w:left="720" w:hanging="720"/>
        <w:jc w:val="both"/>
        <w:rPr>
          <w:lang w:val="en-US"/>
        </w:rPr>
      </w:pPr>
      <w:proofErr w:type="spellStart"/>
      <w:r>
        <w:rPr>
          <w:lang w:val="en-US"/>
        </w:rPr>
        <w:t>Vossler</w:t>
      </w:r>
      <w:proofErr w:type="spellEnd"/>
      <w:r>
        <w:rPr>
          <w:lang w:val="en-US"/>
        </w:rPr>
        <w:t xml:space="preserve">, C. A., M. Doyon, and D. Rondeau (2012). Truth in consequentiality: Theory and field evidence on discrete choice experiments. </w:t>
      </w:r>
      <w:r w:rsidRPr="003E661E">
        <w:rPr>
          <w:i/>
          <w:lang w:val="en-US"/>
        </w:rPr>
        <w:t>American Economic Journal: Microeconomics 4</w:t>
      </w:r>
      <w:r>
        <w:rPr>
          <w:lang w:val="en-US"/>
        </w:rPr>
        <w:t xml:space="preserve"> (4), 145-71.</w:t>
      </w:r>
    </w:p>
    <w:p w14:paraId="6D3F6C97" w14:textId="77777777" w:rsidR="000A6DBA" w:rsidRDefault="000A6DBA" w:rsidP="00946733">
      <w:pPr>
        <w:ind w:left="720" w:hanging="720"/>
        <w:jc w:val="both"/>
        <w:rPr>
          <w:lang w:val="en-US"/>
        </w:rPr>
      </w:pPr>
      <w:proofErr w:type="spellStart"/>
      <w:r>
        <w:rPr>
          <w:lang w:val="en-US"/>
        </w:rPr>
        <w:t>Vossler</w:t>
      </w:r>
      <w:proofErr w:type="spellEnd"/>
      <w:r>
        <w:rPr>
          <w:lang w:val="en-US"/>
        </w:rPr>
        <w:t xml:space="preserve">, C. A. and M. F. Evans (2009). Bridging the gap between the field and the lab: Environmental goods, policy maker input, and consequentiality. </w:t>
      </w:r>
      <w:r w:rsidRPr="00E95F51">
        <w:rPr>
          <w:i/>
          <w:lang w:val="en-US"/>
        </w:rPr>
        <w:t>Journal of Environmental Economics and M</w:t>
      </w:r>
      <w:r w:rsidR="00E95F51" w:rsidRPr="00E95F51">
        <w:rPr>
          <w:i/>
          <w:lang w:val="en-US"/>
        </w:rPr>
        <w:t>a</w:t>
      </w:r>
      <w:r w:rsidRPr="00E95F51">
        <w:rPr>
          <w:i/>
          <w:lang w:val="en-US"/>
        </w:rPr>
        <w:t>nage</w:t>
      </w:r>
      <w:r w:rsidR="00E95F51" w:rsidRPr="00E95F51">
        <w:rPr>
          <w:i/>
          <w:lang w:val="en-US"/>
        </w:rPr>
        <w:t>ment 58</w:t>
      </w:r>
      <w:r w:rsidR="00E95F51">
        <w:rPr>
          <w:i/>
          <w:lang w:val="en-US"/>
        </w:rPr>
        <w:t xml:space="preserve"> </w:t>
      </w:r>
      <w:r w:rsidR="00E95F51">
        <w:rPr>
          <w:lang w:val="en-US"/>
        </w:rPr>
        <w:t>(3), 338-345.</w:t>
      </w:r>
    </w:p>
    <w:p w14:paraId="7878E908" w14:textId="77777777" w:rsidR="00D559BB" w:rsidRDefault="00555E01" w:rsidP="00946733">
      <w:pPr>
        <w:ind w:left="720" w:hanging="720"/>
        <w:jc w:val="both"/>
        <w:rPr>
          <w:lang w:val="en-US"/>
        </w:rPr>
      </w:pPr>
      <w:proofErr w:type="spellStart"/>
      <w:r>
        <w:rPr>
          <w:lang w:val="en-US"/>
        </w:rPr>
        <w:t>Vossler</w:t>
      </w:r>
      <w:proofErr w:type="spellEnd"/>
      <w:r>
        <w:rPr>
          <w:lang w:val="en-US"/>
        </w:rPr>
        <w:t xml:space="preserve">, C. A. and S. B. Watson (2013). Understanding the consequences of consequentiality: Testing the validity of stated preferences in the field. </w:t>
      </w:r>
      <w:r w:rsidRPr="00555E01">
        <w:rPr>
          <w:i/>
          <w:lang w:val="en-US"/>
        </w:rPr>
        <w:t>Journal of Economic Behavior &amp; Organization 86</w:t>
      </w:r>
      <w:r>
        <w:rPr>
          <w:lang w:val="en-US"/>
        </w:rPr>
        <w:t>, 137-147.</w:t>
      </w:r>
    </w:p>
    <w:p w14:paraId="4BE172A3" w14:textId="77777777" w:rsidR="00313A0C" w:rsidRDefault="00313A0C" w:rsidP="00946733">
      <w:pPr>
        <w:ind w:left="720" w:hanging="720"/>
        <w:jc w:val="both"/>
        <w:rPr>
          <w:lang w:val="en-US"/>
        </w:rPr>
      </w:pPr>
      <w:r>
        <w:rPr>
          <w:lang w:val="en-US"/>
        </w:rPr>
        <w:t xml:space="preserve">Zhu, J. K. (2001). Plant salt tolerance. </w:t>
      </w:r>
      <w:r w:rsidRPr="00313A0C">
        <w:rPr>
          <w:i/>
          <w:lang w:val="en-US"/>
        </w:rPr>
        <w:t>Trends in plant science 6</w:t>
      </w:r>
      <w:r>
        <w:rPr>
          <w:lang w:val="en-US"/>
        </w:rPr>
        <w:t xml:space="preserve"> (20), 66-71.</w:t>
      </w:r>
    </w:p>
    <w:p w14:paraId="2DBF0D7D" w14:textId="77777777" w:rsidR="009C28E3" w:rsidRDefault="009C28E3" w:rsidP="00322533">
      <w:pPr>
        <w:jc w:val="both"/>
        <w:rPr>
          <w:lang w:val="en-US"/>
        </w:rPr>
      </w:pPr>
    </w:p>
    <w:p w14:paraId="6B62F1B3" w14:textId="77777777" w:rsidR="00A25737" w:rsidRDefault="00A25737" w:rsidP="00322533">
      <w:pPr>
        <w:jc w:val="both"/>
        <w:rPr>
          <w:lang w:val="en-US"/>
        </w:rPr>
      </w:pPr>
    </w:p>
    <w:p w14:paraId="02F2C34E" w14:textId="77777777" w:rsidR="00FF44E3" w:rsidRDefault="00FF44E3" w:rsidP="00322533">
      <w:pPr>
        <w:jc w:val="both"/>
        <w:rPr>
          <w:lang w:val="en-US"/>
        </w:rPr>
      </w:pPr>
    </w:p>
    <w:p w14:paraId="680A4E5D" w14:textId="77777777" w:rsidR="00B242A7" w:rsidRDefault="00B242A7" w:rsidP="00B242A7">
      <w:pPr>
        <w:spacing w:after="0"/>
        <w:rPr>
          <w:lang w:val="en-US"/>
        </w:rPr>
      </w:pPr>
    </w:p>
    <w:p w14:paraId="4E5234EE" w14:textId="77777777" w:rsidR="006A40FA" w:rsidRPr="006A40FA" w:rsidRDefault="006A40FA" w:rsidP="00CC446F">
      <w:pPr>
        <w:spacing w:after="0" w:line="240" w:lineRule="auto"/>
        <w:jc w:val="center"/>
        <w:outlineLvl w:val="0"/>
        <w:rPr>
          <w:b/>
          <w:lang w:val="en-US"/>
        </w:rPr>
      </w:pPr>
      <w:r w:rsidRPr="006A40FA">
        <w:rPr>
          <w:b/>
          <w:lang w:val="en-US"/>
        </w:rPr>
        <w:lastRenderedPageBreak/>
        <w:t>APPENDIX A</w:t>
      </w:r>
    </w:p>
    <w:p w14:paraId="2C248DFE" w14:textId="77777777" w:rsidR="00C25181" w:rsidRDefault="00063CA5" w:rsidP="00CC446F">
      <w:pPr>
        <w:spacing w:after="0" w:line="240" w:lineRule="auto"/>
        <w:jc w:val="center"/>
        <w:rPr>
          <w:lang w:val="en-US"/>
        </w:rPr>
      </w:pPr>
      <w:r>
        <w:rPr>
          <w:lang w:val="en-US"/>
        </w:rPr>
        <w:t>Table 4</w:t>
      </w:r>
      <w:r w:rsidR="00C25181" w:rsidRPr="00C25181">
        <w:rPr>
          <w:lang w:val="en-US"/>
        </w:rPr>
        <w:t>: Presentation of dummies</w:t>
      </w:r>
    </w:p>
    <w:tbl>
      <w:tblPr>
        <w:tblStyle w:val="TableGrid"/>
        <w:tblW w:w="10350" w:type="dxa"/>
        <w:tblInd w:w="-990" w:type="dxa"/>
        <w:tblBorders>
          <w:left w:val="none" w:sz="0" w:space="0" w:color="auto"/>
          <w:right w:val="none" w:sz="0" w:space="0" w:color="auto"/>
          <w:insideV w:val="none" w:sz="0" w:space="0" w:color="auto"/>
        </w:tblBorders>
        <w:tblLook w:val="04A0" w:firstRow="1" w:lastRow="0" w:firstColumn="1" w:lastColumn="0" w:noHBand="0" w:noVBand="1"/>
      </w:tblPr>
      <w:tblGrid>
        <w:gridCol w:w="1794"/>
        <w:gridCol w:w="8556"/>
      </w:tblGrid>
      <w:tr w:rsidR="00C25181" w:rsidRPr="009B5F10" w14:paraId="73E9AFD5" w14:textId="77777777" w:rsidTr="00CC446F">
        <w:tc>
          <w:tcPr>
            <w:tcW w:w="1794" w:type="dxa"/>
            <w:tcBorders>
              <w:top w:val="double" w:sz="4" w:space="0" w:color="auto"/>
              <w:bottom w:val="double" w:sz="4" w:space="0" w:color="auto"/>
            </w:tcBorders>
          </w:tcPr>
          <w:p w14:paraId="2F0116E8" w14:textId="77777777" w:rsidR="00C25181" w:rsidRPr="00C25181" w:rsidRDefault="00C25181" w:rsidP="009203AE">
            <w:pPr>
              <w:jc w:val="both"/>
              <w:rPr>
                <w:b/>
                <w:lang w:val="en-US"/>
              </w:rPr>
            </w:pPr>
            <w:r w:rsidRPr="00C25181">
              <w:rPr>
                <w:b/>
                <w:lang w:val="en-US"/>
              </w:rPr>
              <w:t>Dummies</w:t>
            </w:r>
          </w:p>
        </w:tc>
        <w:tc>
          <w:tcPr>
            <w:tcW w:w="8556" w:type="dxa"/>
            <w:tcBorders>
              <w:top w:val="double" w:sz="4" w:space="0" w:color="auto"/>
              <w:bottom w:val="double" w:sz="4" w:space="0" w:color="auto"/>
            </w:tcBorders>
          </w:tcPr>
          <w:p w14:paraId="11A2D500" w14:textId="77777777" w:rsidR="00C25181" w:rsidRPr="00C25181" w:rsidRDefault="00C25181" w:rsidP="009203AE">
            <w:pPr>
              <w:jc w:val="both"/>
              <w:rPr>
                <w:b/>
                <w:lang w:val="en-US"/>
              </w:rPr>
            </w:pPr>
            <w:r w:rsidRPr="00C25181">
              <w:rPr>
                <w:b/>
                <w:lang w:val="en-US"/>
              </w:rPr>
              <w:t>Definition of dummies</w:t>
            </w:r>
          </w:p>
        </w:tc>
      </w:tr>
      <w:tr w:rsidR="00C25181" w:rsidRPr="00C25181" w14:paraId="6C377DF2" w14:textId="77777777" w:rsidTr="00CC446F">
        <w:trPr>
          <w:trHeight w:val="20"/>
        </w:trPr>
        <w:tc>
          <w:tcPr>
            <w:tcW w:w="1794" w:type="dxa"/>
            <w:tcBorders>
              <w:top w:val="double" w:sz="4" w:space="0" w:color="auto"/>
            </w:tcBorders>
          </w:tcPr>
          <w:p w14:paraId="6B7153E5" w14:textId="77777777" w:rsidR="00C25181" w:rsidRPr="00C25181" w:rsidRDefault="00C25181" w:rsidP="009203AE">
            <w:pPr>
              <w:jc w:val="both"/>
              <w:rPr>
                <w:lang w:val="en-US"/>
              </w:rPr>
            </w:pPr>
            <w:r w:rsidRPr="00C25181">
              <w:rPr>
                <w:lang w:val="en-US"/>
              </w:rPr>
              <w:t>CVIV*</w:t>
            </w:r>
          </w:p>
        </w:tc>
        <w:tc>
          <w:tcPr>
            <w:tcW w:w="8556" w:type="dxa"/>
            <w:tcBorders>
              <w:top w:val="double" w:sz="4" w:space="0" w:color="auto"/>
            </w:tcBorders>
          </w:tcPr>
          <w:p w14:paraId="535309C3" w14:textId="77777777" w:rsidR="00C25181" w:rsidRPr="00C25181" w:rsidRDefault="00C25181" w:rsidP="009203AE">
            <w:pPr>
              <w:jc w:val="both"/>
              <w:rPr>
                <w:lang w:val="en-US"/>
              </w:rPr>
            </w:pPr>
            <w:r w:rsidRPr="00C25181">
              <w:rPr>
                <w:lang w:val="en-US"/>
              </w:rPr>
              <w:t>Contingent Valuation=1, 0 otherwise</w:t>
            </w:r>
          </w:p>
        </w:tc>
      </w:tr>
      <w:tr w:rsidR="00C25181" w:rsidRPr="00C25181" w14:paraId="19AD4972" w14:textId="77777777" w:rsidTr="00CC446F">
        <w:trPr>
          <w:trHeight w:val="20"/>
        </w:trPr>
        <w:tc>
          <w:tcPr>
            <w:tcW w:w="1794" w:type="dxa"/>
          </w:tcPr>
          <w:p w14:paraId="3E4F530A" w14:textId="77777777" w:rsidR="00C25181" w:rsidRPr="00C25181" w:rsidRDefault="00C25181" w:rsidP="009203AE">
            <w:pPr>
              <w:jc w:val="both"/>
              <w:rPr>
                <w:lang w:val="en-US"/>
              </w:rPr>
            </w:pPr>
            <w:r w:rsidRPr="00C25181">
              <w:rPr>
                <w:lang w:val="en-US"/>
              </w:rPr>
              <w:t>CVIV</w:t>
            </w:r>
            <w:r w:rsidRPr="00C25181">
              <w:rPr>
                <w:vertAlign w:val="subscript"/>
                <w:lang w:val="en-US"/>
              </w:rPr>
              <w:t>2</w:t>
            </w:r>
          </w:p>
        </w:tc>
        <w:tc>
          <w:tcPr>
            <w:tcW w:w="8556" w:type="dxa"/>
          </w:tcPr>
          <w:p w14:paraId="3BC537F5" w14:textId="77777777" w:rsidR="00C25181" w:rsidRPr="00C25181" w:rsidRDefault="00C25181" w:rsidP="009203AE">
            <w:pPr>
              <w:jc w:val="both"/>
              <w:rPr>
                <w:lang w:val="en-US"/>
              </w:rPr>
            </w:pPr>
            <w:r w:rsidRPr="00C25181">
              <w:rPr>
                <w:lang w:val="en-US"/>
              </w:rPr>
              <w:t>Inferred Valuation=1, 0 otherwise</w:t>
            </w:r>
          </w:p>
        </w:tc>
      </w:tr>
      <w:tr w:rsidR="00C25181" w:rsidRPr="00CC446F" w14:paraId="55F9B049" w14:textId="77777777" w:rsidTr="00CC446F">
        <w:trPr>
          <w:trHeight w:val="20"/>
        </w:trPr>
        <w:tc>
          <w:tcPr>
            <w:tcW w:w="1794" w:type="dxa"/>
          </w:tcPr>
          <w:p w14:paraId="1C9F5D39" w14:textId="77777777" w:rsidR="00C25181" w:rsidRPr="00C25181" w:rsidRDefault="00C25181" w:rsidP="009203AE">
            <w:pPr>
              <w:jc w:val="both"/>
              <w:rPr>
                <w:lang w:val="en-US"/>
              </w:rPr>
            </w:pPr>
            <w:r w:rsidRPr="00C25181">
              <w:rPr>
                <w:lang w:val="en-US"/>
              </w:rPr>
              <w:t>order</w:t>
            </w:r>
          </w:p>
        </w:tc>
        <w:tc>
          <w:tcPr>
            <w:tcW w:w="8556" w:type="dxa"/>
          </w:tcPr>
          <w:p w14:paraId="49BFC092" w14:textId="77777777" w:rsidR="00C25181" w:rsidRPr="00C25181" w:rsidRDefault="00C25181" w:rsidP="009203AE">
            <w:pPr>
              <w:jc w:val="both"/>
              <w:rPr>
                <w:lang w:val="en-US"/>
              </w:rPr>
            </w:pPr>
            <w:r w:rsidRPr="00C25181">
              <w:rPr>
                <w:lang w:val="en-US"/>
              </w:rPr>
              <w:t>The order of the package in the WTP question, where 0=5lt is the display of 5lt first and where 1=1lt is the display of 1lt first</w:t>
            </w:r>
          </w:p>
        </w:tc>
      </w:tr>
      <w:tr w:rsidR="00C25181" w:rsidRPr="00C25181" w14:paraId="1FDD17C3" w14:textId="77777777" w:rsidTr="00CC446F">
        <w:trPr>
          <w:trHeight w:val="20"/>
        </w:trPr>
        <w:tc>
          <w:tcPr>
            <w:tcW w:w="1794" w:type="dxa"/>
          </w:tcPr>
          <w:p w14:paraId="48CFEAD3" w14:textId="77777777" w:rsidR="00C25181" w:rsidRPr="00C25181" w:rsidRDefault="00C25181" w:rsidP="009203AE">
            <w:pPr>
              <w:jc w:val="both"/>
              <w:rPr>
                <w:lang w:val="en-US"/>
              </w:rPr>
            </w:pPr>
            <w:r w:rsidRPr="00C25181">
              <w:rPr>
                <w:lang w:val="en-US"/>
              </w:rPr>
              <w:t>bottle</w:t>
            </w:r>
            <w:r w:rsidRPr="00C25181">
              <w:rPr>
                <w:vertAlign w:val="subscript"/>
                <w:lang w:val="en-US"/>
              </w:rPr>
              <w:t>1</w:t>
            </w:r>
            <w:r w:rsidRPr="00C25181">
              <w:rPr>
                <w:lang w:val="en-US"/>
              </w:rPr>
              <w:t>*</w:t>
            </w:r>
          </w:p>
        </w:tc>
        <w:tc>
          <w:tcPr>
            <w:tcW w:w="8556" w:type="dxa"/>
          </w:tcPr>
          <w:p w14:paraId="2D6C237B" w14:textId="77777777" w:rsidR="00C25181" w:rsidRPr="00C25181" w:rsidRDefault="00C25181" w:rsidP="009203AE">
            <w:pPr>
              <w:jc w:val="both"/>
              <w:rPr>
                <w:lang w:val="en-US"/>
              </w:rPr>
            </w:pPr>
            <w:r w:rsidRPr="00C25181">
              <w:rPr>
                <w:lang w:val="en-US"/>
              </w:rPr>
              <w:t>Package of 1lt=1, or 0</w:t>
            </w:r>
          </w:p>
        </w:tc>
      </w:tr>
      <w:tr w:rsidR="00C25181" w:rsidRPr="00C25181" w14:paraId="6B81FBBA" w14:textId="77777777" w:rsidTr="00CC446F">
        <w:trPr>
          <w:trHeight w:val="20"/>
        </w:trPr>
        <w:tc>
          <w:tcPr>
            <w:tcW w:w="1794" w:type="dxa"/>
          </w:tcPr>
          <w:p w14:paraId="3E190C9E" w14:textId="77777777" w:rsidR="00C25181" w:rsidRPr="00C25181" w:rsidRDefault="00C25181" w:rsidP="009203AE">
            <w:pPr>
              <w:jc w:val="both"/>
              <w:rPr>
                <w:lang w:val="en-US"/>
              </w:rPr>
            </w:pPr>
            <w:r w:rsidRPr="00C25181">
              <w:rPr>
                <w:lang w:val="en-US"/>
              </w:rPr>
              <w:t>bottle</w:t>
            </w:r>
            <w:r w:rsidRPr="00C25181">
              <w:rPr>
                <w:vertAlign w:val="subscript"/>
                <w:lang w:val="en-US"/>
              </w:rPr>
              <w:t>5</w:t>
            </w:r>
          </w:p>
        </w:tc>
        <w:tc>
          <w:tcPr>
            <w:tcW w:w="8556" w:type="dxa"/>
          </w:tcPr>
          <w:p w14:paraId="657B6E7A" w14:textId="77777777" w:rsidR="00C25181" w:rsidRPr="00C25181" w:rsidRDefault="00C25181" w:rsidP="009203AE">
            <w:pPr>
              <w:jc w:val="both"/>
              <w:rPr>
                <w:lang w:val="en-US"/>
              </w:rPr>
            </w:pPr>
            <w:r w:rsidRPr="00C25181">
              <w:rPr>
                <w:lang w:val="en-US"/>
              </w:rPr>
              <w:t>Package of 5lt=1,or 0</w:t>
            </w:r>
          </w:p>
        </w:tc>
      </w:tr>
      <w:tr w:rsidR="00C25181" w:rsidRPr="00CC446F" w14:paraId="26293DC1" w14:textId="77777777" w:rsidTr="00CC446F">
        <w:trPr>
          <w:trHeight w:val="20"/>
        </w:trPr>
        <w:tc>
          <w:tcPr>
            <w:tcW w:w="1794" w:type="dxa"/>
          </w:tcPr>
          <w:p w14:paraId="687C4CB3" w14:textId="77777777" w:rsidR="00C25181" w:rsidRPr="00C25181" w:rsidRDefault="00C25181" w:rsidP="009203AE">
            <w:pPr>
              <w:jc w:val="both"/>
              <w:rPr>
                <w:lang w:val="en-US"/>
              </w:rPr>
            </w:pPr>
            <w:r w:rsidRPr="00C25181">
              <w:rPr>
                <w:lang w:val="en-US"/>
              </w:rPr>
              <w:t>conseq</w:t>
            </w:r>
            <w:r w:rsidRPr="00C25181">
              <w:rPr>
                <w:vertAlign w:val="subscript"/>
                <w:lang w:val="en-US"/>
              </w:rPr>
              <w:t>2</w:t>
            </w:r>
            <w:r w:rsidRPr="00C25181">
              <w:rPr>
                <w:lang w:val="en-US"/>
              </w:rPr>
              <w:t>*</w:t>
            </w:r>
          </w:p>
        </w:tc>
        <w:tc>
          <w:tcPr>
            <w:tcW w:w="8556" w:type="dxa"/>
          </w:tcPr>
          <w:p w14:paraId="4237B3B9" w14:textId="77777777" w:rsidR="00C25181" w:rsidRPr="00C25181" w:rsidRDefault="00C25181" w:rsidP="009203AE">
            <w:pPr>
              <w:jc w:val="both"/>
              <w:rPr>
                <w:lang w:val="en-US"/>
              </w:rPr>
            </w:pPr>
            <w:r w:rsidRPr="00C25181">
              <w:rPr>
                <w:lang w:val="en-US"/>
              </w:rPr>
              <w:t>1 if producer believes that his answers will be taken ‘’Not at all/Low’’ into account, 0 otherwise</w:t>
            </w:r>
          </w:p>
        </w:tc>
      </w:tr>
      <w:tr w:rsidR="00C25181" w:rsidRPr="00CC446F" w14:paraId="525A3D57" w14:textId="77777777" w:rsidTr="00CC446F">
        <w:trPr>
          <w:trHeight w:val="20"/>
        </w:trPr>
        <w:tc>
          <w:tcPr>
            <w:tcW w:w="1794" w:type="dxa"/>
          </w:tcPr>
          <w:p w14:paraId="1155F125" w14:textId="77777777" w:rsidR="00C25181" w:rsidRPr="00C25181" w:rsidRDefault="00C25181" w:rsidP="009203AE">
            <w:pPr>
              <w:jc w:val="both"/>
              <w:rPr>
                <w:lang w:val="en-US"/>
              </w:rPr>
            </w:pPr>
            <w:r w:rsidRPr="00C25181">
              <w:rPr>
                <w:lang w:val="en-US"/>
              </w:rPr>
              <w:t>conseq</w:t>
            </w:r>
            <w:r w:rsidRPr="00C25181">
              <w:rPr>
                <w:vertAlign w:val="subscript"/>
                <w:lang w:val="en-US"/>
              </w:rPr>
              <w:t>3</w:t>
            </w:r>
          </w:p>
        </w:tc>
        <w:tc>
          <w:tcPr>
            <w:tcW w:w="8556" w:type="dxa"/>
          </w:tcPr>
          <w:p w14:paraId="2CFC0BE9" w14:textId="77777777" w:rsidR="00C25181" w:rsidRPr="00C25181" w:rsidRDefault="00C25181" w:rsidP="009203AE">
            <w:pPr>
              <w:jc w:val="both"/>
              <w:rPr>
                <w:lang w:val="en-US"/>
              </w:rPr>
            </w:pPr>
            <w:r w:rsidRPr="00C25181">
              <w:rPr>
                <w:lang w:val="en-US"/>
              </w:rPr>
              <w:t>1 if producer believes that his answers will be taken ‘’Moderate’’ into account, 0 otherwise</w:t>
            </w:r>
          </w:p>
        </w:tc>
      </w:tr>
      <w:tr w:rsidR="00C25181" w:rsidRPr="00CC446F" w14:paraId="58533D06" w14:textId="77777777" w:rsidTr="00CC446F">
        <w:trPr>
          <w:trHeight w:val="20"/>
        </w:trPr>
        <w:tc>
          <w:tcPr>
            <w:tcW w:w="1794" w:type="dxa"/>
          </w:tcPr>
          <w:p w14:paraId="0AE8DE5F" w14:textId="77777777" w:rsidR="00C25181" w:rsidRPr="00C25181" w:rsidRDefault="00C25181" w:rsidP="009203AE">
            <w:pPr>
              <w:jc w:val="both"/>
              <w:rPr>
                <w:lang w:val="en-US"/>
              </w:rPr>
            </w:pPr>
            <w:r w:rsidRPr="00C25181">
              <w:rPr>
                <w:lang w:val="en-US"/>
              </w:rPr>
              <w:t>conseq</w:t>
            </w:r>
            <w:r w:rsidRPr="00C25181">
              <w:rPr>
                <w:vertAlign w:val="subscript"/>
                <w:lang w:val="en-US"/>
              </w:rPr>
              <w:t>4</w:t>
            </w:r>
          </w:p>
        </w:tc>
        <w:tc>
          <w:tcPr>
            <w:tcW w:w="8556" w:type="dxa"/>
          </w:tcPr>
          <w:p w14:paraId="27D6A6FA" w14:textId="77777777" w:rsidR="00C25181" w:rsidRPr="00C25181" w:rsidRDefault="00C25181" w:rsidP="009203AE">
            <w:pPr>
              <w:jc w:val="both"/>
              <w:rPr>
                <w:lang w:val="en-US"/>
              </w:rPr>
            </w:pPr>
            <w:r w:rsidRPr="00C25181">
              <w:rPr>
                <w:lang w:val="en-US"/>
              </w:rPr>
              <w:t>1 if producer believes that his answers will be taken ‘’Very/Very much’’ into account, 0 otherwise</w:t>
            </w:r>
          </w:p>
        </w:tc>
      </w:tr>
      <w:tr w:rsidR="00C25181" w:rsidRPr="00CC446F" w14:paraId="3CC6CB08" w14:textId="77777777" w:rsidTr="00CC446F">
        <w:trPr>
          <w:trHeight w:val="20"/>
        </w:trPr>
        <w:tc>
          <w:tcPr>
            <w:tcW w:w="1794" w:type="dxa"/>
          </w:tcPr>
          <w:p w14:paraId="2658C66F" w14:textId="77777777" w:rsidR="00C25181" w:rsidRPr="00C25181" w:rsidRDefault="00C25181" w:rsidP="009203AE">
            <w:pPr>
              <w:jc w:val="both"/>
              <w:rPr>
                <w:lang w:val="en-US"/>
              </w:rPr>
            </w:pPr>
            <w:r w:rsidRPr="00C25181">
              <w:rPr>
                <w:lang w:val="en-US"/>
              </w:rPr>
              <w:t>hbias</w:t>
            </w:r>
            <w:r w:rsidRPr="00C25181">
              <w:rPr>
                <w:vertAlign w:val="subscript"/>
                <w:lang w:val="en-US"/>
              </w:rPr>
              <w:t>1</w:t>
            </w:r>
            <w:r w:rsidRPr="00C25181">
              <w:rPr>
                <w:lang w:val="en-US"/>
              </w:rPr>
              <w:t>*</w:t>
            </w:r>
          </w:p>
        </w:tc>
        <w:tc>
          <w:tcPr>
            <w:tcW w:w="8556" w:type="dxa"/>
          </w:tcPr>
          <w:p w14:paraId="51B6D390" w14:textId="77777777" w:rsidR="00C25181" w:rsidRPr="00C25181" w:rsidRDefault="00C25181" w:rsidP="009203AE">
            <w:pPr>
              <w:jc w:val="both"/>
              <w:rPr>
                <w:lang w:val="en-US"/>
              </w:rPr>
            </w:pPr>
            <w:r w:rsidRPr="00C25181">
              <w:rPr>
                <w:lang w:val="en-US"/>
              </w:rPr>
              <w:t>1 if producer believes that it is ‘’Not likely at all’’ to exaggerate his answers, 0 otherwise</w:t>
            </w:r>
          </w:p>
        </w:tc>
      </w:tr>
      <w:tr w:rsidR="00C25181" w:rsidRPr="00CC446F" w14:paraId="6CB67835" w14:textId="77777777" w:rsidTr="00CC446F">
        <w:trPr>
          <w:trHeight w:val="20"/>
        </w:trPr>
        <w:tc>
          <w:tcPr>
            <w:tcW w:w="1794" w:type="dxa"/>
          </w:tcPr>
          <w:p w14:paraId="35233E35" w14:textId="77777777" w:rsidR="00C25181" w:rsidRPr="00C25181" w:rsidRDefault="00C25181" w:rsidP="009203AE">
            <w:pPr>
              <w:jc w:val="both"/>
              <w:rPr>
                <w:lang w:val="en-US"/>
              </w:rPr>
            </w:pPr>
            <w:r w:rsidRPr="00C25181">
              <w:rPr>
                <w:lang w:val="en-US"/>
              </w:rPr>
              <w:t>hbias</w:t>
            </w:r>
            <w:r w:rsidRPr="00C25181">
              <w:rPr>
                <w:vertAlign w:val="subscript"/>
                <w:lang w:val="en-US"/>
              </w:rPr>
              <w:t>2</w:t>
            </w:r>
          </w:p>
        </w:tc>
        <w:tc>
          <w:tcPr>
            <w:tcW w:w="8556" w:type="dxa"/>
          </w:tcPr>
          <w:p w14:paraId="58A80ACD" w14:textId="77777777" w:rsidR="00C25181" w:rsidRPr="00C25181" w:rsidRDefault="00C25181" w:rsidP="009203AE">
            <w:pPr>
              <w:jc w:val="both"/>
              <w:rPr>
                <w:lang w:val="en-US"/>
              </w:rPr>
            </w:pPr>
            <w:r w:rsidRPr="00C25181">
              <w:rPr>
                <w:lang w:val="en-US"/>
              </w:rPr>
              <w:t>1 if producer believes that it is  ‘’Unlikely’’ to exaggerate his answers, 0 otherwise</w:t>
            </w:r>
          </w:p>
        </w:tc>
      </w:tr>
      <w:tr w:rsidR="00C25181" w:rsidRPr="00CC446F" w14:paraId="60A7C7E5" w14:textId="77777777" w:rsidTr="00CC446F">
        <w:trPr>
          <w:trHeight w:val="20"/>
        </w:trPr>
        <w:tc>
          <w:tcPr>
            <w:tcW w:w="1794" w:type="dxa"/>
          </w:tcPr>
          <w:p w14:paraId="43BEAA50" w14:textId="77777777" w:rsidR="00C25181" w:rsidRPr="00C25181" w:rsidRDefault="00C25181" w:rsidP="009203AE">
            <w:pPr>
              <w:jc w:val="both"/>
              <w:rPr>
                <w:lang w:val="en-US"/>
              </w:rPr>
            </w:pPr>
            <w:r w:rsidRPr="00C25181">
              <w:rPr>
                <w:lang w:val="en-US"/>
              </w:rPr>
              <w:t>hbias</w:t>
            </w:r>
            <w:r w:rsidRPr="00C25181">
              <w:rPr>
                <w:vertAlign w:val="subscript"/>
                <w:lang w:val="en-US"/>
              </w:rPr>
              <w:t>3</w:t>
            </w:r>
          </w:p>
        </w:tc>
        <w:tc>
          <w:tcPr>
            <w:tcW w:w="8556" w:type="dxa"/>
          </w:tcPr>
          <w:p w14:paraId="5E4AE5EA" w14:textId="77777777" w:rsidR="00C25181" w:rsidRPr="00C25181" w:rsidRDefault="00C25181" w:rsidP="009203AE">
            <w:pPr>
              <w:jc w:val="both"/>
              <w:rPr>
                <w:lang w:val="en-US"/>
              </w:rPr>
            </w:pPr>
            <w:r w:rsidRPr="00C25181">
              <w:rPr>
                <w:lang w:val="en-US"/>
              </w:rPr>
              <w:t>1 if producer believes that it is ‘’Neither likely, nor unlikely/Likely/Very likely’’ to exaggerate his answers,0 otherwise</w:t>
            </w:r>
          </w:p>
        </w:tc>
      </w:tr>
      <w:tr w:rsidR="00C25181" w:rsidRPr="00CC446F" w14:paraId="3C22267A" w14:textId="77777777" w:rsidTr="00CC446F">
        <w:trPr>
          <w:trHeight w:val="20"/>
        </w:trPr>
        <w:tc>
          <w:tcPr>
            <w:tcW w:w="1794" w:type="dxa"/>
          </w:tcPr>
          <w:p w14:paraId="5D983AAA" w14:textId="77777777" w:rsidR="00C25181" w:rsidRPr="00C25181" w:rsidRDefault="00C25181" w:rsidP="009203AE">
            <w:pPr>
              <w:jc w:val="both"/>
              <w:rPr>
                <w:lang w:val="en-US"/>
              </w:rPr>
            </w:pPr>
            <w:r w:rsidRPr="00C25181">
              <w:rPr>
                <w:lang w:val="en-US"/>
              </w:rPr>
              <w:t>hbiasot</w:t>
            </w:r>
            <w:r w:rsidRPr="00C25181">
              <w:rPr>
                <w:vertAlign w:val="subscript"/>
                <w:lang w:val="en-US"/>
              </w:rPr>
              <w:t>2</w:t>
            </w:r>
            <w:r w:rsidRPr="00C25181">
              <w:rPr>
                <w:lang w:val="en-US"/>
              </w:rPr>
              <w:t>*</w:t>
            </w:r>
          </w:p>
        </w:tc>
        <w:tc>
          <w:tcPr>
            <w:tcW w:w="8556" w:type="dxa"/>
          </w:tcPr>
          <w:p w14:paraId="2E5F4BA2" w14:textId="77777777" w:rsidR="00C25181" w:rsidRPr="00C25181" w:rsidRDefault="00C25181" w:rsidP="009203AE">
            <w:pPr>
              <w:jc w:val="both"/>
              <w:rPr>
                <w:lang w:val="en-US"/>
              </w:rPr>
            </w:pPr>
            <w:r w:rsidRPr="00C25181">
              <w:rPr>
                <w:lang w:val="en-US"/>
              </w:rPr>
              <w:t>1 if producer believes that it is ‘’Not likely at all/Unlikely’’ for the other participants to exaggerate their answers, 0 otherwise</w:t>
            </w:r>
          </w:p>
        </w:tc>
      </w:tr>
      <w:tr w:rsidR="00C25181" w:rsidRPr="00CC446F" w14:paraId="663F8E8C" w14:textId="77777777" w:rsidTr="00CC446F">
        <w:trPr>
          <w:trHeight w:val="20"/>
        </w:trPr>
        <w:tc>
          <w:tcPr>
            <w:tcW w:w="1794" w:type="dxa"/>
          </w:tcPr>
          <w:p w14:paraId="1A2FFE26" w14:textId="77777777" w:rsidR="00C25181" w:rsidRPr="00C25181" w:rsidRDefault="00C25181" w:rsidP="009203AE">
            <w:pPr>
              <w:jc w:val="both"/>
              <w:rPr>
                <w:lang w:val="en-US"/>
              </w:rPr>
            </w:pPr>
            <w:r w:rsidRPr="00C25181">
              <w:rPr>
                <w:lang w:val="en-US"/>
              </w:rPr>
              <w:t>hbiasot</w:t>
            </w:r>
            <w:r w:rsidRPr="00C25181">
              <w:rPr>
                <w:vertAlign w:val="subscript"/>
                <w:lang w:val="en-US"/>
              </w:rPr>
              <w:t>3</w:t>
            </w:r>
          </w:p>
        </w:tc>
        <w:tc>
          <w:tcPr>
            <w:tcW w:w="8556" w:type="dxa"/>
          </w:tcPr>
          <w:p w14:paraId="2BBEBF7F" w14:textId="77777777" w:rsidR="00C25181" w:rsidRPr="00C25181" w:rsidRDefault="00C25181" w:rsidP="009203AE">
            <w:pPr>
              <w:jc w:val="both"/>
              <w:rPr>
                <w:lang w:val="en-US"/>
              </w:rPr>
            </w:pPr>
            <w:r w:rsidRPr="00C25181">
              <w:rPr>
                <w:lang w:val="en-US"/>
              </w:rPr>
              <w:t>1 if producer believes that it is ‘’Neither likely, nor unlikely’’ for the other participants to exaggerate their answers, 0 otherwise</w:t>
            </w:r>
          </w:p>
        </w:tc>
      </w:tr>
      <w:tr w:rsidR="00C25181" w:rsidRPr="00CC446F" w14:paraId="0471D9BE" w14:textId="77777777" w:rsidTr="00CC446F">
        <w:trPr>
          <w:trHeight w:val="20"/>
        </w:trPr>
        <w:tc>
          <w:tcPr>
            <w:tcW w:w="1794" w:type="dxa"/>
          </w:tcPr>
          <w:p w14:paraId="64549434" w14:textId="77777777" w:rsidR="00C25181" w:rsidRPr="00C25181" w:rsidRDefault="00C25181" w:rsidP="009203AE">
            <w:pPr>
              <w:jc w:val="both"/>
              <w:rPr>
                <w:lang w:val="en-US"/>
              </w:rPr>
            </w:pPr>
            <w:r w:rsidRPr="00C25181">
              <w:rPr>
                <w:lang w:val="en-US"/>
              </w:rPr>
              <w:t>hbiasot</w:t>
            </w:r>
            <w:r w:rsidRPr="00C25181">
              <w:rPr>
                <w:vertAlign w:val="subscript"/>
                <w:lang w:val="en-US"/>
              </w:rPr>
              <w:t>4</w:t>
            </w:r>
          </w:p>
        </w:tc>
        <w:tc>
          <w:tcPr>
            <w:tcW w:w="8556" w:type="dxa"/>
          </w:tcPr>
          <w:p w14:paraId="479050DE" w14:textId="77777777" w:rsidR="00C25181" w:rsidRPr="00C25181" w:rsidRDefault="00C25181" w:rsidP="009203AE">
            <w:pPr>
              <w:jc w:val="both"/>
              <w:rPr>
                <w:lang w:val="en-US"/>
              </w:rPr>
            </w:pPr>
            <w:r w:rsidRPr="00C25181">
              <w:rPr>
                <w:lang w:val="en-US"/>
              </w:rPr>
              <w:t>1 if producer believes that it is ‘’Likely/Very likely’’ for the other participants to exaggerate their answers, 0 otherwise</w:t>
            </w:r>
          </w:p>
        </w:tc>
      </w:tr>
      <w:tr w:rsidR="00C25181" w:rsidRPr="00CC446F" w14:paraId="52A95107" w14:textId="77777777" w:rsidTr="00CC446F">
        <w:trPr>
          <w:trHeight w:val="20"/>
        </w:trPr>
        <w:tc>
          <w:tcPr>
            <w:tcW w:w="1794" w:type="dxa"/>
          </w:tcPr>
          <w:p w14:paraId="532D9297" w14:textId="77777777" w:rsidR="00C25181" w:rsidRPr="00C25181" w:rsidRDefault="00C25181" w:rsidP="009203AE">
            <w:pPr>
              <w:jc w:val="both"/>
              <w:rPr>
                <w:lang w:val="en-US"/>
              </w:rPr>
            </w:pPr>
            <w:r w:rsidRPr="00C25181">
              <w:rPr>
                <w:lang w:val="en-US"/>
              </w:rPr>
              <w:t>know_new</w:t>
            </w:r>
            <w:r w:rsidRPr="00C25181">
              <w:rPr>
                <w:vertAlign w:val="subscript"/>
                <w:lang w:val="en-US"/>
              </w:rPr>
              <w:t>2</w:t>
            </w:r>
            <w:r w:rsidRPr="00C25181">
              <w:rPr>
                <w:lang w:val="en-US"/>
              </w:rPr>
              <w:t>*</w:t>
            </w:r>
          </w:p>
        </w:tc>
        <w:tc>
          <w:tcPr>
            <w:tcW w:w="8556" w:type="dxa"/>
          </w:tcPr>
          <w:p w14:paraId="34B24343" w14:textId="77777777" w:rsidR="00C25181" w:rsidRPr="00C25181" w:rsidRDefault="00C25181" w:rsidP="009203AE">
            <w:pPr>
              <w:jc w:val="both"/>
              <w:rPr>
                <w:lang w:val="en-US"/>
              </w:rPr>
            </w:pPr>
            <w:r w:rsidRPr="00C25181">
              <w:rPr>
                <w:lang w:val="en-US"/>
              </w:rPr>
              <w:t>1 if producer has scored ‘’Minimum/Low’’ knowledge, 0 otherwise</w:t>
            </w:r>
          </w:p>
        </w:tc>
      </w:tr>
      <w:tr w:rsidR="00C25181" w:rsidRPr="00CC446F" w14:paraId="6AF9A27B" w14:textId="77777777" w:rsidTr="00CC446F">
        <w:trPr>
          <w:trHeight w:val="20"/>
        </w:trPr>
        <w:tc>
          <w:tcPr>
            <w:tcW w:w="1794" w:type="dxa"/>
          </w:tcPr>
          <w:p w14:paraId="00AB2E7D" w14:textId="77777777" w:rsidR="00C25181" w:rsidRPr="00C25181" w:rsidRDefault="00C25181" w:rsidP="009203AE">
            <w:pPr>
              <w:jc w:val="both"/>
              <w:rPr>
                <w:lang w:val="en-US"/>
              </w:rPr>
            </w:pPr>
            <w:r w:rsidRPr="00C25181">
              <w:rPr>
                <w:lang w:val="en-US"/>
              </w:rPr>
              <w:t>know_new</w:t>
            </w:r>
            <w:r w:rsidRPr="00C25181">
              <w:rPr>
                <w:vertAlign w:val="subscript"/>
                <w:lang w:val="en-US"/>
              </w:rPr>
              <w:t>3</w:t>
            </w:r>
          </w:p>
        </w:tc>
        <w:tc>
          <w:tcPr>
            <w:tcW w:w="8556" w:type="dxa"/>
          </w:tcPr>
          <w:p w14:paraId="010B0D70" w14:textId="77777777" w:rsidR="00C25181" w:rsidRPr="00C25181" w:rsidRDefault="00C25181" w:rsidP="009203AE">
            <w:pPr>
              <w:jc w:val="both"/>
              <w:rPr>
                <w:lang w:val="en-US"/>
              </w:rPr>
            </w:pPr>
            <w:r w:rsidRPr="00C25181">
              <w:rPr>
                <w:lang w:val="en-US"/>
              </w:rPr>
              <w:t>1 if producer has scored ‘’Good’’ knowledge, 0 otherwise</w:t>
            </w:r>
          </w:p>
        </w:tc>
      </w:tr>
      <w:tr w:rsidR="00C25181" w:rsidRPr="00CC446F" w14:paraId="7A335856" w14:textId="77777777" w:rsidTr="00CC446F">
        <w:trPr>
          <w:trHeight w:val="20"/>
        </w:trPr>
        <w:tc>
          <w:tcPr>
            <w:tcW w:w="1794" w:type="dxa"/>
          </w:tcPr>
          <w:p w14:paraId="475FB547" w14:textId="77777777" w:rsidR="00C25181" w:rsidRPr="00C25181" w:rsidRDefault="00C25181" w:rsidP="009203AE">
            <w:pPr>
              <w:jc w:val="both"/>
              <w:rPr>
                <w:lang w:val="en-US"/>
              </w:rPr>
            </w:pPr>
            <w:r w:rsidRPr="00C25181">
              <w:rPr>
                <w:lang w:val="en-US"/>
              </w:rPr>
              <w:t>know_new</w:t>
            </w:r>
            <w:r w:rsidRPr="00C25181">
              <w:rPr>
                <w:vertAlign w:val="subscript"/>
                <w:lang w:val="en-US"/>
              </w:rPr>
              <w:t>4</w:t>
            </w:r>
          </w:p>
        </w:tc>
        <w:tc>
          <w:tcPr>
            <w:tcW w:w="8556" w:type="dxa"/>
          </w:tcPr>
          <w:p w14:paraId="2122EA15" w14:textId="77777777" w:rsidR="00C25181" w:rsidRPr="00C25181" w:rsidRDefault="00C25181" w:rsidP="009203AE">
            <w:pPr>
              <w:jc w:val="both"/>
              <w:rPr>
                <w:lang w:val="en-US"/>
              </w:rPr>
            </w:pPr>
            <w:r w:rsidRPr="00C25181">
              <w:rPr>
                <w:lang w:val="en-US"/>
              </w:rPr>
              <w:t>1 if producer has scored ‘’Very good’’ knowledge, 0 otherwise</w:t>
            </w:r>
          </w:p>
        </w:tc>
      </w:tr>
      <w:tr w:rsidR="00C25181" w:rsidRPr="00CC446F" w14:paraId="0A82D1D9" w14:textId="77777777" w:rsidTr="00CC446F">
        <w:trPr>
          <w:trHeight w:val="20"/>
        </w:trPr>
        <w:tc>
          <w:tcPr>
            <w:tcW w:w="1794" w:type="dxa"/>
          </w:tcPr>
          <w:p w14:paraId="6FB8BBF8" w14:textId="77777777" w:rsidR="00C25181" w:rsidRPr="00C25181" w:rsidRDefault="00C25181" w:rsidP="009203AE">
            <w:pPr>
              <w:jc w:val="both"/>
              <w:rPr>
                <w:lang w:val="en-US"/>
              </w:rPr>
            </w:pPr>
            <w:r w:rsidRPr="00C25181">
              <w:rPr>
                <w:lang w:val="en-US"/>
              </w:rPr>
              <w:t>know_new</w:t>
            </w:r>
            <w:r w:rsidRPr="00C25181">
              <w:rPr>
                <w:vertAlign w:val="subscript"/>
                <w:lang w:val="en-US"/>
              </w:rPr>
              <w:t>5</w:t>
            </w:r>
          </w:p>
        </w:tc>
        <w:tc>
          <w:tcPr>
            <w:tcW w:w="8556" w:type="dxa"/>
          </w:tcPr>
          <w:p w14:paraId="5BBA7EEF" w14:textId="77777777" w:rsidR="00C25181" w:rsidRPr="00C25181" w:rsidRDefault="00C25181" w:rsidP="009203AE">
            <w:pPr>
              <w:jc w:val="both"/>
              <w:rPr>
                <w:lang w:val="en-US"/>
              </w:rPr>
            </w:pPr>
            <w:r w:rsidRPr="00C25181">
              <w:rPr>
                <w:lang w:val="en-US"/>
              </w:rPr>
              <w:t>1 if producer has scored ‘’Excellent’’ knowledge, 0 otherwise</w:t>
            </w:r>
          </w:p>
        </w:tc>
      </w:tr>
      <w:tr w:rsidR="00C25181" w:rsidRPr="00CC446F" w14:paraId="29D632B7" w14:textId="77777777" w:rsidTr="00CC446F">
        <w:trPr>
          <w:trHeight w:val="20"/>
        </w:trPr>
        <w:tc>
          <w:tcPr>
            <w:tcW w:w="1794" w:type="dxa"/>
          </w:tcPr>
          <w:p w14:paraId="6F3B5929" w14:textId="77777777" w:rsidR="00C25181" w:rsidRPr="00C25181" w:rsidRDefault="00C25181" w:rsidP="009203AE">
            <w:pPr>
              <w:jc w:val="both"/>
              <w:rPr>
                <w:lang w:val="en-US"/>
              </w:rPr>
            </w:pPr>
            <w:r w:rsidRPr="00C25181">
              <w:rPr>
                <w:lang w:val="en-US"/>
              </w:rPr>
              <w:t>age</w:t>
            </w:r>
            <w:r w:rsidRPr="00C25181">
              <w:rPr>
                <w:vertAlign w:val="subscript"/>
                <w:lang w:val="en-US"/>
              </w:rPr>
              <w:t>1</w:t>
            </w:r>
            <w:r w:rsidRPr="00C25181">
              <w:rPr>
                <w:lang w:val="en-US"/>
              </w:rPr>
              <w:t>*</w:t>
            </w:r>
          </w:p>
        </w:tc>
        <w:tc>
          <w:tcPr>
            <w:tcW w:w="8556" w:type="dxa"/>
          </w:tcPr>
          <w:p w14:paraId="54D3DD94" w14:textId="77777777" w:rsidR="00C25181" w:rsidRPr="00C25181" w:rsidRDefault="00C25181" w:rsidP="009203AE">
            <w:pPr>
              <w:jc w:val="both"/>
              <w:rPr>
                <w:lang w:val="en-US"/>
              </w:rPr>
            </w:pPr>
            <w:r w:rsidRPr="00C25181">
              <w:rPr>
                <w:lang w:val="en-US"/>
              </w:rPr>
              <w:t>1 if age category &lt; 40 years, 0 otherwise</w:t>
            </w:r>
          </w:p>
        </w:tc>
      </w:tr>
      <w:tr w:rsidR="00C25181" w:rsidRPr="00CC446F" w14:paraId="3B85A118" w14:textId="77777777" w:rsidTr="00CC446F">
        <w:trPr>
          <w:trHeight w:val="20"/>
        </w:trPr>
        <w:tc>
          <w:tcPr>
            <w:tcW w:w="1794" w:type="dxa"/>
          </w:tcPr>
          <w:p w14:paraId="43E0420D" w14:textId="77777777" w:rsidR="00C25181" w:rsidRPr="00C25181" w:rsidRDefault="00C25181" w:rsidP="009203AE">
            <w:pPr>
              <w:jc w:val="both"/>
              <w:rPr>
                <w:lang w:val="en-US"/>
              </w:rPr>
            </w:pPr>
            <w:r w:rsidRPr="00C25181">
              <w:rPr>
                <w:lang w:val="en-US"/>
              </w:rPr>
              <w:t>age</w:t>
            </w:r>
            <w:r w:rsidRPr="00C25181">
              <w:rPr>
                <w:vertAlign w:val="subscript"/>
                <w:lang w:val="en-US"/>
              </w:rPr>
              <w:t>2</w:t>
            </w:r>
          </w:p>
        </w:tc>
        <w:tc>
          <w:tcPr>
            <w:tcW w:w="8556" w:type="dxa"/>
          </w:tcPr>
          <w:p w14:paraId="63495BF0" w14:textId="77777777" w:rsidR="00C25181" w:rsidRPr="00C25181" w:rsidRDefault="00C25181" w:rsidP="009203AE">
            <w:pPr>
              <w:jc w:val="both"/>
              <w:rPr>
                <w:lang w:val="en-US"/>
              </w:rPr>
            </w:pPr>
            <w:r w:rsidRPr="00C25181">
              <w:rPr>
                <w:lang w:val="en-US"/>
              </w:rPr>
              <w:t>1 if age category 41 – 60 years, 0 otherwise</w:t>
            </w:r>
          </w:p>
        </w:tc>
      </w:tr>
      <w:tr w:rsidR="00C25181" w:rsidRPr="00CC446F" w14:paraId="5ECC6217" w14:textId="77777777" w:rsidTr="00CC446F">
        <w:trPr>
          <w:trHeight w:val="20"/>
        </w:trPr>
        <w:tc>
          <w:tcPr>
            <w:tcW w:w="1794" w:type="dxa"/>
          </w:tcPr>
          <w:p w14:paraId="3650BB85" w14:textId="77777777" w:rsidR="00C25181" w:rsidRPr="00C25181" w:rsidRDefault="00C25181" w:rsidP="009203AE">
            <w:pPr>
              <w:jc w:val="both"/>
              <w:rPr>
                <w:lang w:val="en-US"/>
              </w:rPr>
            </w:pPr>
            <w:r w:rsidRPr="00C25181">
              <w:rPr>
                <w:lang w:val="en-US"/>
              </w:rPr>
              <w:t>age</w:t>
            </w:r>
            <w:r w:rsidRPr="00C25181">
              <w:rPr>
                <w:vertAlign w:val="subscript"/>
                <w:lang w:val="en-US"/>
              </w:rPr>
              <w:t>3</w:t>
            </w:r>
          </w:p>
        </w:tc>
        <w:tc>
          <w:tcPr>
            <w:tcW w:w="8556" w:type="dxa"/>
          </w:tcPr>
          <w:p w14:paraId="6671F997" w14:textId="77777777" w:rsidR="00C25181" w:rsidRPr="00C25181" w:rsidRDefault="00C25181" w:rsidP="009203AE">
            <w:pPr>
              <w:jc w:val="both"/>
              <w:rPr>
                <w:lang w:val="en-US"/>
              </w:rPr>
            </w:pPr>
            <w:r w:rsidRPr="00C25181">
              <w:rPr>
                <w:lang w:val="en-US"/>
              </w:rPr>
              <w:t>1 if age category &gt;60 years=1, 0 otherwise</w:t>
            </w:r>
          </w:p>
        </w:tc>
      </w:tr>
      <w:tr w:rsidR="00C25181" w:rsidRPr="00CC446F" w14:paraId="5A5CA1C6" w14:textId="77777777" w:rsidTr="00CC446F">
        <w:trPr>
          <w:trHeight w:val="20"/>
        </w:trPr>
        <w:tc>
          <w:tcPr>
            <w:tcW w:w="1794" w:type="dxa"/>
          </w:tcPr>
          <w:p w14:paraId="474B43F9" w14:textId="77777777" w:rsidR="00C25181" w:rsidRPr="00C25181" w:rsidRDefault="00C25181" w:rsidP="009203AE">
            <w:pPr>
              <w:jc w:val="both"/>
              <w:rPr>
                <w:lang w:val="en-US"/>
              </w:rPr>
            </w:pPr>
            <w:r w:rsidRPr="00C25181">
              <w:rPr>
                <w:lang w:val="en-US"/>
              </w:rPr>
              <w:t>edu</w:t>
            </w:r>
            <w:r w:rsidRPr="00C25181">
              <w:rPr>
                <w:vertAlign w:val="subscript"/>
                <w:lang w:val="en-US"/>
              </w:rPr>
              <w:t>1</w:t>
            </w:r>
            <w:r w:rsidRPr="00C25181">
              <w:rPr>
                <w:lang w:val="en-US"/>
              </w:rPr>
              <w:t>*</w:t>
            </w:r>
          </w:p>
        </w:tc>
        <w:tc>
          <w:tcPr>
            <w:tcW w:w="8556" w:type="dxa"/>
          </w:tcPr>
          <w:p w14:paraId="1CC0F2D1" w14:textId="77777777" w:rsidR="00C25181" w:rsidRPr="00C25181" w:rsidRDefault="00C25181" w:rsidP="009203AE">
            <w:pPr>
              <w:jc w:val="both"/>
              <w:rPr>
                <w:lang w:val="en-US"/>
              </w:rPr>
            </w:pPr>
            <w:r w:rsidRPr="00C25181">
              <w:rPr>
                <w:lang w:val="en-US"/>
              </w:rPr>
              <w:t>1 if education level ‘’Up to primary school’’, 0 otherwise</w:t>
            </w:r>
          </w:p>
        </w:tc>
      </w:tr>
      <w:tr w:rsidR="00C25181" w:rsidRPr="00CC446F" w14:paraId="023396FB" w14:textId="77777777" w:rsidTr="00CC446F">
        <w:trPr>
          <w:trHeight w:val="20"/>
        </w:trPr>
        <w:tc>
          <w:tcPr>
            <w:tcW w:w="1794" w:type="dxa"/>
          </w:tcPr>
          <w:p w14:paraId="7266DBB7" w14:textId="77777777" w:rsidR="00C25181" w:rsidRPr="00C25181" w:rsidRDefault="00C25181" w:rsidP="009203AE">
            <w:pPr>
              <w:jc w:val="both"/>
              <w:rPr>
                <w:lang w:val="en-US"/>
              </w:rPr>
            </w:pPr>
            <w:r w:rsidRPr="00C25181">
              <w:rPr>
                <w:lang w:val="en-US"/>
              </w:rPr>
              <w:t>edu</w:t>
            </w:r>
            <w:r w:rsidRPr="00C25181">
              <w:rPr>
                <w:vertAlign w:val="subscript"/>
                <w:lang w:val="en-US"/>
              </w:rPr>
              <w:t>2</w:t>
            </w:r>
          </w:p>
        </w:tc>
        <w:tc>
          <w:tcPr>
            <w:tcW w:w="8556" w:type="dxa"/>
          </w:tcPr>
          <w:p w14:paraId="31217045" w14:textId="77777777" w:rsidR="00C25181" w:rsidRPr="00C25181" w:rsidRDefault="00C25181" w:rsidP="00BE6AEA">
            <w:pPr>
              <w:jc w:val="both"/>
              <w:rPr>
                <w:lang w:val="en-US"/>
              </w:rPr>
            </w:pPr>
            <w:r w:rsidRPr="00C25181">
              <w:rPr>
                <w:lang w:val="en-US"/>
              </w:rPr>
              <w:t>1 if education level ‘’</w:t>
            </w:r>
            <w:r w:rsidR="00BE6AEA">
              <w:rPr>
                <w:lang w:val="en-US"/>
              </w:rPr>
              <w:t xml:space="preserve">Primary </w:t>
            </w:r>
            <w:r w:rsidRPr="00C25181">
              <w:rPr>
                <w:lang w:val="en-US"/>
              </w:rPr>
              <w:t>school’’, 0 otherwise</w:t>
            </w:r>
          </w:p>
        </w:tc>
      </w:tr>
      <w:tr w:rsidR="00C25181" w:rsidRPr="00CC446F" w14:paraId="0EAD9034" w14:textId="77777777" w:rsidTr="00CC446F">
        <w:trPr>
          <w:trHeight w:val="20"/>
        </w:trPr>
        <w:tc>
          <w:tcPr>
            <w:tcW w:w="1794" w:type="dxa"/>
          </w:tcPr>
          <w:p w14:paraId="562BC477" w14:textId="77777777" w:rsidR="00C25181" w:rsidRPr="00C25181" w:rsidRDefault="00C25181" w:rsidP="009203AE">
            <w:pPr>
              <w:jc w:val="both"/>
              <w:rPr>
                <w:lang w:val="en-US"/>
              </w:rPr>
            </w:pPr>
            <w:r w:rsidRPr="00C25181">
              <w:rPr>
                <w:lang w:val="en-US"/>
              </w:rPr>
              <w:t>edu</w:t>
            </w:r>
            <w:r w:rsidRPr="00C25181">
              <w:rPr>
                <w:vertAlign w:val="subscript"/>
                <w:lang w:val="en-US"/>
              </w:rPr>
              <w:t>3</w:t>
            </w:r>
            <w:r w:rsidRPr="00C25181">
              <w:rPr>
                <w:lang w:val="en-US"/>
              </w:rPr>
              <w:t xml:space="preserve"> </w:t>
            </w:r>
          </w:p>
        </w:tc>
        <w:tc>
          <w:tcPr>
            <w:tcW w:w="8556" w:type="dxa"/>
          </w:tcPr>
          <w:p w14:paraId="53D751D0" w14:textId="77777777" w:rsidR="00C25181" w:rsidRPr="00C25181" w:rsidRDefault="00C25181" w:rsidP="00BE6AEA">
            <w:pPr>
              <w:jc w:val="both"/>
              <w:rPr>
                <w:lang w:val="en-US"/>
              </w:rPr>
            </w:pPr>
            <w:r w:rsidRPr="00C25181">
              <w:rPr>
                <w:lang w:val="en-US"/>
              </w:rPr>
              <w:t>1 if education level ‘’</w:t>
            </w:r>
            <w:r w:rsidR="00BE6AEA">
              <w:rPr>
                <w:lang w:val="en-US"/>
              </w:rPr>
              <w:t xml:space="preserve">Secondary </w:t>
            </w:r>
            <w:r w:rsidRPr="00C25181">
              <w:rPr>
                <w:lang w:val="en-US"/>
              </w:rPr>
              <w:t>school’’, 0 otherwise</w:t>
            </w:r>
          </w:p>
        </w:tc>
      </w:tr>
      <w:tr w:rsidR="00C25181" w:rsidRPr="00CC446F" w14:paraId="461077E1" w14:textId="77777777" w:rsidTr="00CC446F">
        <w:trPr>
          <w:trHeight w:val="20"/>
        </w:trPr>
        <w:tc>
          <w:tcPr>
            <w:tcW w:w="1794" w:type="dxa"/>
          </w:tcPr>
          <w:p w14:paraId="3EFA2D51" w14:textId="77777777" w:rsidR="00C25181" w:rsidRPr="00C25181" w:rsidRDefault="00C25181" w:rsidP="009203AE">
            <w:pPr>
              <w:jc w:val="both"/>
              <w:rPr>
                <w:lang w:val="en-US"/>
              </w:rPr>
            </w:pPr>
            <w:r w:rsidRPr="00C25181">
              <w:rPr>
                <w:lang w:val="en-US"/>
              </w:rPr>
              <w:t>edu</w:t>
            </w:r>
            <w:r w:rsidRPr="00C25181">
              <w:rPr>
                <w:vertAlign w:val="subscript"/>
                <w:lang w:val="en-US"/>
              </w:rPr>
              <w:t>4</w:t>
            </w:r>
          </w:p>
        </w:tc>
        <w:tc>
          <w:tcPr>
            <w:tcW w:w="8556" w:type="dxa"/>
          </w:tcPr>
          <w:p w14:paraId="27792388" w14:textId="77777777" w:rsidR="00C25181" w:rsidRPr="00C25181" w:rsidRDefault="00C25181" w:rsidP="009203AE">
            <w:pPr>
              <w:jc w:val="both"/>
              <w:rPr>
                <w:lang w:val="en-US"/>
              </w:rPr>
            </w:pPr>
            <w:r w:rsidRPr="00C25181">
              <w:rPr>
                <w:lang w:val="en-US"/>
              </w:rPr>
              <w:t>1 if education level ‘’University/College graduate’’, 0 otherwise</w:t>
            </w:r>
          </w:p>
        </w:tc>
      </w:tr>
      <w:tr w:rsidR="00C25181" w:rsidRPr="00CC446F" w14:paraId="5D6B965B" w14:textId="77777777" w:rsidTr="00CC446F">
        <w:trPr>
          <w:trHeight w:val="20"/>
        </w:trPr>
        <w:tc>
          <w:tcPr>
            <w:tcW w:w="1794" w:type="dxa"/>
          </w:tcPr>
          <w:p w14:paraId="62DBFC57" w14:textId="77777777" w:rsidR="00C25181" w:rsidRPr="00C25181" w:rsidRDefault="00C25181" w:rsidP="009203AE">
            <w:pPr>
              <w:jc w:val="both"/>
              <w:rPr>
                <w:lang w:val="en-US"/>
              </w:rPr>
            </w:pPr>
            <w:r w:rsidRPr="00C25181">
              <w:rPr>
                <w:lang w:val="en-US"/>
              </w:rPr>
              <w:t>income</w:t>
            </w:r>
            <w:r w:rsidRPr="00C25181">
              <w:rPr>
                <w:vertAlign w:val="subscript"/>
                <w:lang w:val="en-US"/>
              </w:rPr>
              <w:t>3</w:t>
            </w:r>
            <w:r w:rsidRPr="00C25181">
              <w:rPr>
                <w:lang w:val="en-US"/>
              </w:rPr>
              <w:t>*</w:t>
            </w:r>
          </w:p>
        </w:tc>
        <w:tc>
          <w:tcPr>
            <w:tcW w:w="8556" w:type="dxa"/>
          </w:tcPr>
          <w:p w14:paraId="5D6FF804" w14:textId="77777777" w:rsidR="00C25181" w:rsidRPr="00C25181" w:rsidRDefault="00C25181" w:rsidP="009203AE">
            <w:pPr>
              <w:jc w:val="both"/>
              <w:rPr>
                <w:lang w:val="en-US"/>
              </w:rPr>
            </w:pPr>
            <w:r w:rsidRPr="00C25181">
              <w:rPr>
                <w:lang w:val="en-US"/>
              </w:rPr>
              <w:t>1 if income characterized ‘’Very bad/Bad/Below average’’, 0 otherwise</w:t>
            </w:r>
          </w:p>
        </w:tc>
      </w:tr>
      <w:tr w:rsidR="00C25181" w:rsidRPr="00CC446F" w14:paraId="77C70FC3" w14:textId="77777777" w:rsidTr="00CC446F">
        <w:trPr>
          <w:trHeight w:val="20"/>
        </w:trPr>
        <w:tc>
          <w:tcPr>
            <w:tcW w:w="1794" w:type="dxa"/>
          </w:tcPr>
          <w:p w14:paraId="69AD56ED" w14:textId="77777777" w:rsidR="00C25181" w:rsidRPr="00C25181" w:rsidRDefault="00C25181" w:rsidP="009203AE">
            <w:pPr>
              <w:jc w:val="both"/>
              <w:rPr>
                <w:lang w:val="en-US"/>
              </w:rPr>
            </w:pPr>
            <w:r w:rsidRPr="00C25181">
              <w:rPr>
                <w:lang w:val="en-US"/>
              </w:rPr>
              <w:t>income</w:t>
            </w:r>
            <w:r w:rsidRPr="00C25181">
              <w:rPr>
                <w:vertAlign w:val="subscript"/>
                <w:lang w:val="en-US"/>
              </w:rPr>
              <w:t>4</w:t>
            </w:r>
          </w:p>
        </w:tc>
        <w:tc>
          <w:tcPr>
            <w:tcW w:w="8556" w:type="dxa"/>
          </w:tcPr>
          <w:p w14:paraId="4B67691A" w14:textId="77777777" w:rsidR="00C25181" w:rsidRPr="00C25181" w:rsidRDefault="00C25181" w:rsidP="009203AE">
            <w:pPr>
              <w:jc w:val="both"/>
              <w:rPr>
                <w:lang w:val="en-US"/>
              </w:rPr>
            </w:pPr>
            <w:r w:rsidRPr="00C25181">
              <w:rPr>
                <w:lang w:val="en-US"/>
              </w:rPr>
              <w:t>1 if income characterized ‘’Average’’, 0 otherwise</w:t>
            </w:r>
          </w:p>
        </w:tc>
      </w:tr>
      <w:tr w:rsidR="00C25181" w:rsidRPr="00CC446F" w14:paraId="2968DA32" w14:textId="77777777" w:rsidTr="00CC446F">
        <w:trPr>
          <w:trHeight w:val="20"/>
        </w:trPr>
        <w:tc>
          <w:tcPr>
            <w:tcW w:w="1794" w:type="dxa"/>
          </w:tcPr>
          <w:p w14:paraId="4BCA62AE" w14:textId="77777777" w:rsidR="00C25181" w:rsidRPr="00C25181" w:rsidRDefault="00C25181" w:rsidP="009203AE">
            <w:pPr>
              <w:jc w:val="both"/>
              <w:rPr>
                <w:lang w:val="en-US"/>
              </w:rPr>
            </w:pPr>
            <w:r w:rsidRPr="00C25181">
              <w:rPr>
                <w:lang w:val="en-US"/>
              </w:rPr>
              <w:t>income</w:t>
            </w:r>
            <w:r w:rsidRPr="00C25181">
              <w:rPr>
                <w:vertAlign w:val="subscript"/>
                <w:lang w:val="en-US"/>
              </w:rPr>
              <w:t>5</w:t>
            </w:r>
          </w:p>
        </w:tc>
        <w:tc>
          <w:tcPr>
            <w:tcW w:w="8556" w:type="dxa"/>
          </w:tcPr>
          <w:p w14:paraId="52EF5C43" w14:textId="77777777" w:rsidR="00C25181" w:rsidRPr="00C25181" w:rsidRDefault="00C25181" w:rsidP="009203AE">
            <w:pPr>
              <w:jc w:val="both"/>
              <w:rPr>
                <w:lang w:val="en-US"/>
              </w:rPr>
            </w:pPr>
            <w:r w:rsidRPr="00C25181">
              <w:rPr>
                <w:lang w:val="en-US"/>
              </w:rPr>
              <w:t>1 if income characterized ‘’Above average’’, 0 otherwise</w:t>
            </w:r>
          </w:p>
        </w:tc>
      </w:tr>
      <w:tr w:rsidR="00C25181" w:rsidRPr="00CC446F" w14:paraId="60FC3CDC" w14:textId="77777777" w:rsidTr="00CC446F">
        <w:trPr>
          <w:trHeight w:val="20"/>
        </w:trPr>
        <w:tc>
          <w:tcPr>
            <w:tcW w:w="1794" w:type="dxa"/>
          </w:tcPr>
          <w:p w14:paraId="2768A58A" w14:textId="77777777" w:rsidR="00C25181" w:rsidRPr="00C25181" w:rsidRDefault="00C25181" w:rsidP="009203AE">
            <w:pPr>
              <w:jc w:val="both"/>
              <w:rPr>
                <w:lang w:val="en-US"/>
              </w:rPr>
            </w:pPr>
            <w:r w:rsidRPr="00C25181">
              <w:rPr>
                <w:lang w:val="en-US"/>
              </w:rPr>
              <w:t>income</w:t>
            </w:r>
            <w:r w:rsidRPr="00C25181">
              <w:rPr>
                <w:vertAlign w:val="subscript"/>
                <w:lang w:val="en-US"/>
              </w:rPr>
              <w:t>6</w:t>
            </w:r>
          </w:p>
        </w:tc>
        <w:tc>
          <w:tcPr>
            <w:tcW w:w="8556" w:type="dxa"/>
          </w:tcPr>
          <w:p w14:paraId="350E74B1" w14:textId="77777777" w:rsidR="00C25181" w:rsidRPr="00C25181" w:rsidRDefault="00C25181" w:rsidP="009203AE">
            <w:pPr>
              <w:jc w:val="both"/>
              <w:rPr>
                <w:lang w:val="en-US"/>
              </w:rPr>
            </w:pPr>
            <w:r w:rsidRPr="00C25181">
              <w:rPr>
                <w:lang w:val="en-US"/>
              </w:rPr>
              <w:t>1 if income characterized ‘’Good/Very good’’, 0 otherwise</w:t>
            </w:r>
          </w:p>
        </w:tc>
      </w:tr>
      <w:tr w:rsidR="00C25181" w:rsidRPr="00CC446F" w14:paraId="7600079C" w14:textId="77777777" w:rsidTr="00CC446F">
        <w:trPr>
          <w:trHeight w:val="20"/>
        </w:trPr>
        <w:tc>
          <w:tcPr>
            <w:tcW w:w="1794" w:type="dxa"/>
          </w:tcPr>
          <w:p w14:paraId="5D733087" w14:textId="77777777" w:rsidR="00C25181" w:rsidRPr="00C25181" w:rsidRDefault="00C25181" w:rsidP="009203AE">
            <w:pPr>
              <w:jc w:val="both"/>
              <w:rPr>
                <w:lang w:val="en-US"/>
              </w:rPr>
            </w:pPr>
            <w:r w:rsidRPr="00C25181">
              <w:rPr>
                <w:lang w:val="en-US"/>
              </w:rPr>
              <w:t>susk</w:t>
            </w:r>
            <w:r w:rsidRPr="00C25181">
              <w:rPr>
                <w:vertAlign w:val="subscript"/>
                <w:lang w:val="en-US"/>
              </w:rPr>
              <w:t>1</w:t>
            </w:r>
          </w:p>
        </w:tc>
        <w:tc>
          <w:tcPr>
            <w:tcW w:w="8556" w:type="dxa"/>
          </w:tcPr>
          <w:p w14:paraId="7487CAED" w14:textId="77777777" w:rsidR="00C25181" w:rsidRPr="00C25181" w:rsidRDefault="00C25181" w:rsidP="009203AE">
            <w:pPr>
              <w:jc w:val="both"/>
              <w:rPr>
                <w:lang w:val="en-US"/>
              </w:rPr>
            </w:pPr>
            <w:r w:rsidRPr="00C25181">
              <w:rPr>
                <w:lang w:val="en-US"/>
              </w:rPr>
              <w:t>Purchase of bulk package=1, or 0</w:t>
            </w:r>
          </w:p>
        </w:tc>
      </w:tr>
      <w:tr w:rsidR="00C25181" w:rsidRPr="00CC446F" w14:paraId="621709DB" w14:textId="77777777" w:rsidTr="00CC446F">
        <w:trPr>
          <w:trHeight w:val="20"/>
        </w:trPr>
        <w:tc>
          <w:tcPr>
            <w:tcW w:w="1794" w:type="dxa"/>
          </w:tcPr>
          <w:p w14:paraId="297C226B" w14:textId="77777777" w:rsidR="00C25181" w:rsidRPr="00C25181" w:rsidRDefault="00C25181" w:rsidP="009203AE">
            <w:pPr>
              <w:jc w:val="both"/>
              <w:rPr>
                <w:lang w:val="en-US"/>
              </w:rPr>
            </w:pPr>
            <w:r w:rsidRPr="00C25181">
              <w:rPr>
                <w:lang w:val="en-US"/>
              </w:rPr>
              <w:t>susk</w:t>
            </w:r>
            <w:r w:rsidRPr="00C25181">
              <w:rPr>
                <w:vertAlign w:val="subscript"/>
                <w:lang w:val="en-US"/>
              </w:rPr>
              <w:t>2</w:t>
            </w:r>
            <w:r w:rsidRPr="00C25181">
              <w:rPr>
                <w:lang w:val="en-US"/>
              </w:rPr>
              <w:t>*</w:t>
            </w:r>
          </w:p>
        </w:tc>
        <w:tc>
          <w:tcPr>
            <w:tcW w:w="8556" w:type="dxa"/>
          </w:tcPr>
          <w:p w14:paraId="1856FD1A" w14:textId="77777777" w:rsidR="00C25181" w:rsidRPr="00C25181" w:rsidRDefault="00C25181" w:rsidP="009203AE">
            <w:pPr>
              <w:jc w:val="both"/>
              <w:rPr>
                <w:lang w:val="en-US"/>
              </w:rPr>
            </w:pPr>
            <w:r w:rsidRPr="00C25181">
              <w:rPr>
                <w:lang w:val="en-US"/>
              </w:rPr>
              <w:t>Package purchase of 1lt=1, or 0</w:t>
            </w:r>
          </w:p>
        </w:tc>
      </w:tr>
      <w:tr w:rsidR="00C25181" w:rsidRPr="00CC446F" w14:paraId="24DD415E" w14:textId="77777777" w:rsidTr="00CC446F">
        <w:trPr>
          <w:trHeight w:val="20"/>
        </w:trPr>
        <w:tc>
          <w:tcPr>
            <w:tcW w:w="1794" w:type="dxa"/>
          </w:tcPr>
          <w:p w14:paraId="044F99BD" w14:textId="77777777" w:rsidR="00C25181" w:rsidRPr="00C25181" w:rsidRDefault="00C25181" w:rsidP="009203AE">
            <w:pPr>
              <w:jc w:val="both"/>
              <w:rPr>
                <w:lang w:val="en-US"/>
              </w:rPr>
            </w:pPr>
            <w:r w:rsidRPr="00C25181">
              <w:rPr>
                <w:lang w:val="en-US"/>
              </w:rPr>
              <w:t>susk</w:t>
            </w:r>
            <w:r w:rsidRPr="00C25181">
              <w:rPr>
                <w:vertAlign w:val="subscript"/>
                <w:lang w:val="en-US"/>
              </w:rPr>
              <w:t>3</w:t>
            </w:r>
          </w:p>
        </w:tc>
        <w:tc>
          <w:tcPr>
            <w:tcW w:w="8556" w:type="dxa"/>
          </w:tcPr>
          <w:p w14:paraId="0D1142E3" w14:textId="77777777" w:rsidR="00C25181" w:rsidRPr="00C25181" w:rsidRDefault="00C25181" w:rsidP="009203AE">
            <w:pPr>
              <w:jc w:val="both"/>
              <w:rPr>
                <w:lang w:val="en-US"/>
              </w:rPr>
            </w:pPr>
            <w:r w:rsidRPr="00C25181">
              <w:rPr>
                <w:lang w:val="en-US"/>
              </w:rPr>
              <w:t>Package purchase of 2,5lt=1, or 0</w:t>
            </w:r>
          </w:p>
        </w:tc>
      </w:tr>
      <w:tr w:rsidR="00C25181" w:rsidRPr="00CC446F" w14:paraId="3771BE68" w14:textId="77777777" w:rsidTr="00CC446F">
        <w:trPr>
          <w:trHeight w:val="20"/>
        </w:trPr>
        <w:tc>
          <w:tcPr>
            <w:tcW w:w="1794" w:type="dxa"/>
          </w:tcPr>
          <w:p w14:paraId="01F4935B" w14:textId="77777777" w:rsidR="00C25181" w:rsidRPr="00C25181" w:rsidRDefault="00C25181" w:rsidP="009203AE">
            <w:pPr>
              <w:jc w:val="both"/>
              <w:rPr>
                <w:lang w:val="en-US"/>
              </w:rPr>
            </w:pPr>
            <w:r w:rsidRPr="00C25181">
              <w:rPr>
                <w:lang w:val="en-US"/>
              </w:rPr>
              <w:t>susk</w:t>
            </w:r>
            <w:r w:rsidRPr="00C25181">
              <w:rPr>
                <w:vertAlign w:val="subscript"/>
                <w:lang w:val="en-US"/>
              </w:rPr>
              <w:t>4</w:t>
            </w:r>
          </w:p>
        </w:tc>
        <w:tc>
          <w:tcPr>
            <w:tcW w:w="8556" w:type="dxa"/>
          </w:tcPr>
          <w:p w14:paraId="27B4B081" w14:textId="77777777" w:rsidR="00C25181" w:rsidRPr="00C25181" w:rsidRDefault="00C25181" w:rsidP="009203AE">
            <w:pPr>
              <w:jc w:val="both"/>
              <w:rPr>
                <w:lang w:val="en-US"/>
              </w:rPr>
            </w:pPr>
            <w:r w:rsidRPr="00C25181">
              <w:rPr>
                <w:lang w:val="en-US"/>
              </w:rPr>
              <w:t>Package purchase of 5lt=1, or 0</w:t>
            </w:r>
          </w:p>
        </w:tc>
      </w:tr>
      <w:tr w:rsidR="00C25181" w:rsidRPr="00CC446F" w14:paraId="2EFCF9E3" w14:textId="77777777" w:rsidTr="00CC446F">
        <w:trPr>
          <w:trHeight w:val="20"/>
        </w:trPr>
        <w:tc>
          <w:tcPr>
            <w:tcW w:w="1794" w:type="dxa"/>
          </w:tcPr>
          <w:p w14:paraId="52B01AFF" w14:textId="77777777" w:rsidR="00C25181" w:rsidRPr="00C25181" w:rsidRDefault="00C25181" w:rsidP="009203AE">
            <w:pPr>
              <w:jc w:val="both"/>
              <w:rPr>
                <w:lang w:val="en-US"/>
              </w:rPr>
            </w:pPr>
            <w:r w:rsidRPr="00C25181">
              <w:rPr>
                <w:lang w:val="en-US"/>
              </w:rPr>
              <w:t>susk</w:t>
            </w:r>
            <w:r w:rsidRPr="00C25181">
              <w:rPr>
                <w:vertAlign w:val="subscript"/>
                <w:lang w:val="en-US"/>
              </w:rPr>
              <w:t>5</w:t>
            </w:r>
          </w:p>
        </w:tc>
        <w:tc>
          <w:tcPr>
            <w:tcW w:w="8556" w:type="dxa"/>
          </w:tcPr>
          <w:p w14:paraId="0452912F" w14:textId="77777777" w:rsidR="00C25181" w:rsidRPr="00C25181" w:rsidRDefault="00C25181" w:rsidP="009203AE">
            <w:pPr>
              <w:jc w:val="both"/>
              <w:rPr>
                <w:lang w:val="en-US"/>
              </w:rPr>
            </w:pPr>
            <w:r w:rsidRPr="00C25181">
              <w:rPr>
                <w:lang w:val="en-US"/>
              </w:rPr>
              <w:t>1 if producers do not buy liquid fertilizer, 0 otherwise</w:t>
            </w:r>
          </w:p>
        </w:tc>
      </w:tr>
      <w:tr w:rsidR="00C25181" w:rsidRPr="00CC446F" w14:paraId="0B90BC60" w14:textId="77777777" w:rsidTr="00CC446F">
        <w:trPr>
          <w:trHeight w:val="20"/>
        </w:trPr>
        <w:tc>
          <w:tcPr>
            <w:tcW w:w="1794" w:type="dxa"/>
          </w:tcPr>
          <w:p w14:paraId="155157E6" w14:textId="77777777" w:rsidR="00C25181" w:rsidRPr="00C25181" w:rsidRDefault="00C25181" w:rsidP="009203AE">
            <w:pPr>
              <w:jc w:val="both"/>
              <w:rPr>
                <w:lang w:val="en-US"/>
              </w:rPr>
            </w:pPr>
            <w:r w:rsidRPr="00C25181">
              <w:rPr>
                <w:lang w:val="en-US"/>
              </w:rPr>
              <w:t>susk</w:t>
            </w:r>
            <w:r w:rsidRPr="00C25181">
              <w:rPr>
                <w:vertAlign w:val="subscript"/>
                <w:lang w:val="en-US"/>
              </w:rPr>
              <w:t>6</w:t>
            </w:r>
          </w:p>
        </w:tc>
        <w:tc>
          <w:tcPr>
            <w:tcW w:w="8556" w:type="dxa"/>
          </w:tcPr>
          <w:p w14:paraId="7F382D26" w14:textId="77777777" w:rsidR="00C25181" w:rsidRPr="00C25181" w:rsidRDefault="00C25181" w:rsidP="009203AE">
            <w:pPr>
              <w:jc w:val="both"/>
              <w:rPr>
                <w:lang w:val="en-US"/>
              </w:rPr>
            </w:pPr>
            <w:r w:rsidRPr="00C25181">
              <w:rPr>
                <w:lang w:val="en-US"/>
              </w:rPr>
              <w:t>1 if Package purchase &gt;10lt, 0 otherwise</w:t>
            </w:r>
          </w:p>
        </w:tc>
      </w:tr>
      <w:tr w:rsidR="00C25181" w:rsidRPr="00CC446F" w14:paraId="545781E6" w14:textId="77777777" w:rsidTr="00CC446F">
        <w:trPr>
          <w:trHeight w:val="20"/>
        </w:trPr>
        <w:tc>
          <w:tcPr>
            <w:tcW w:w="1794" w:type="dxa"/>
          </w:tcPr>
          <w:p w14:paraId="5F45212F" w14:textId="77777777" w:rsidR="00C25181" w:rsidRPr="00C25181" w:rsidRDefault="00C25181" w:rsidP="009203AE">
            <w:pPr>
              <w:jc w:val="both"/>
              <w:rPr>
                <w:lang w:val="en-US"/>
              </w:rPr>
            </w:pPr>
            <w:proofErr w:type="spellStart"/>
            <w:r w:rsidRPr="00C25181">
              <w:rPr>
                <w:lang w:val="en-US"/>
              </w:rPr>
              <w:t>innov</w:t>
            </w:r>
            <w:proofErr w:type="spellEnd"/>
          </w:p>
        </w:tc>
        <w:tc>
          <w:tcPr>
            <w:tcW w:w="8556" w:type="dxa"/>
          </w:tcPr>
          <w:p w14:paraId="4CDAEE2E" w14:textId="77777777" w:rsidR="00C25181" w:rsidRPr="00C25181" w:rsidRDefault="00C25181" w:rsidP="009203AE">
            <w:pPr>
              <w:jc w:val="both"/>
              <w:rPr>
                <w:lang w:val="en-US"/>
              </w:rPr>
            </w:pPr>
            <w:r w:rsidRPr="00C25181">
              <w:rPr>
                <w:lang w:val="en-US"/>
              </w:rPr>
              <w:t>Are you applying a new method to your cultivation technique?, where 1=Yes and 0=No</w:t>
            </w:r>
          </w:p>
        </w:tc>
      </w:tr>
      <w:tr w:rsidR="00C25181" w:rsidRPr="00CC446F" w14:paraId="731D7BD7" w14:textId="77777777" w:rsidTr="00CC446F">
        <w:trPr>
          <w:trHeight w:val="20"/>
        </w:trPr>
        <w:tc>
          <w:tcPr>
            <w:tcW w:w="1794" w:type="dxa"/>
          </w:tcPr>
          <w:p w14:paraId="077A7EDA" w14:textId="77777777" w:rsidR="00C25181" w:rsidRPr="00C25181" w:rsidRDefault="00C25181" w:rsidP="009203AE">
            <w:pPr>
              <w:jc w:val="both"/>
              <w:rPr>
                <w:lang w:val="en-US"/>
              </w:rPr>
            </w:pPr>
            <w:r w:rsidRPr="00C25181">
              <w:rPr>
                <w:lang w:val="en-US"/>
              </w:rPr>
              <w:t>Salpr</w:t>
            </w:r>
            <w:r w:rsidRPr="00C25181">
              <w:rPr>
                <w:vertAlign w:val="subscript"/>
                <w:lang w:val="en-US"/>
              </w:rPr>
              <w:t>1</w:t>
            </w:r>
            <w:r w:rsidRPr="00C25181">
              <w:rPr>
                <w:lang w:val="en-US"/>
              </w:rPr>
              <w:t>*</w:t>
            </w:r>
          </w:p>
        </w:tc>
        <w:tc>
          <w:tcPr>
            <w:tcW w:w="8556" w:type="dxa"/>
          </w:tcPr>
          <w:p w14:paraId="01A08FE0" w14:textId="77777777" w:rsidR="00C25181" w:rsidRPr="00C25181" w:rsidRDefault="00C25181" w:rsidP="009203AE">
            <w:pPr>
              <w:jc w:val="both"/>
              <w:rPr>
                <w:lang w:val="en-US"/>
              </w:rPr>
            </w:pPr>
            <w:r w:rsidRPr="00C25181">
              <w:rPr>
                <w:lang w:val="en-US"/>
              </w:rPr>
              <w:t>1 if farmer faces with salinity problems in his crops, 0 otherwise</w:t>
            </w:r>
          </w:p>
        </w:tc>
      </w:tr>
      <w:tr w:rsidR="00C25181" w:rsidRPr="00CC446F" w14:paraId="3F466924" w14:textId="77777777" w:rsidTr="00CC446F">
        <w:trPr>
          <w:trHeight w:val="20"/>
        </w:trPr>
        <w:tc>
          <w:tcPr>
            <w:tcW w:w="1794" w:type="dxa"/>
            <w:tcBorders>
              <w:bottom w:val="single" w:sz="4" w:space="0" w:color="auto"/>
            </w:tcBorders>
          </w:tcPr>
          <w:p w14:paraId="490E06D7" w14:textId="77777777" w:rsidR="00C25181" w:rsidRPr="00C25181" w:rsidRDefault="00C25181" w:rsidP="009203AE">
            <w:pPr>
              <w:jc w:val="both"/>
              <w:rPr>
                <w:lang w:val="en-US"/>
              </w:rPr>
            </w:pPr>
            <w:r w:rsidRPr="00C25181">
              <w:rPr>
                <w:lang w:val="en-US"/>
              </w:rPr>
              <w:t>Salpr</w:t>
            </w:r>
            <w:r w:rsidRPr="00C25181">
              <w:rPr>
                <w:vertAlign w:val="subscript"/>
                <w:lang w:val="en-US"/>
              </w:rPr>
              <w:t>2</w:t>
            </w:r>
          </w:p>
        </w:tc>
        <w:tc>
          <w:tcPr>
            <w:tcW w:w="8556" w:type="dxa"/>
            <w:tcBorders>
              <w:bottom w:val="single" w:sz="4" w:space="0" w:color="auto"/>
            </w:tcBorders>
          </w:tcPr>
          <w:p w14:paraId="420D9839" w14:textId="77777777" w:rsidR="00C25181" w:rsidRPr="00C25181" w:rsidRDefault="00C25181" w:rsidP="009203AE">
            <w:pPr>
              <w:jc w:val="both"/>
              <w:rPr>
                <w:lang w:val="en-US"/>
              </w:rPr>
            </w:pPr>
            <w:r w:rsidRPr="00C25181">
              <w:rPr>
                <w:lang w:val="en-US"/>
              </w:rPr>
              <w:t>1 if farmer doesn’t face with salinity problems in his crops, 0 otherwise</w:t>
            </w:r>
          </w:p>
        </w:tc>
      </w:tr>
      <w:tr w:rsidR="00C25181" w:rsidRPr="00CC446F" w14:paraId="4488DC0A" w14:textId="77777777" w:rsidTr="00CC446F">
        <w:trPr>
          <w:trHeight w:val="20"/>
        </w:trPr>
        <w:tc>
          <w:tcPr>
            <w:tcW w:w="1794" w:type="dxa"/>
            <w:tcBorders>
              <w:top w:val="single" w:sz="4" w:space="0" w:color="auto"/>
              <w:bottom w:val="double" w:sz="4" w:space="0" w:color="auto"/>
            </w:tcBorders>
          </w:tcPr>
          <w:p w14:paraId="5F6B42B5" w14:textId="77777777" w:rsidR="00C25181" w:rsidRPr="00C25181" w:rsidRDefault="00C25181" w:rsidP="009203AE">
            <w:pPr>
              <w:jc w:val="both"/>
              <w:rPr>
                <w:lang w:val="en-US"/>
              </w:rPr>
            </w:pPr>
            <w:r w:rsidRPr="00C25181">
              <w:rPr>
                <w:lang w:val="en-US"/>
              </w:rPr>
              <w:t>Salpr</w:t>
            </w:r>
            <w:r w:rsidRPr="00C25181">
              <w:rPr>
                <w:vertAlign w:val="subscript"/>
                <w:lang w:val="en-US"/>
              </w:rPr>
              <w:t>3</w:t>
            </w:r>
          </w:p>
        </w:tc>
        <w:tc>
          <w:tcPr>
            <w:tcW w:w="8556" w:type="dxa"/>
            <w:tcBorders>
              <w:top w:val="single" w:sz="4" w:space="0" w:color="auto"/>
              <w:bottom w:val="double" w:sz="4" w:space="0" w:color="auto"/>
            </w:tcBorders>
          </w:tcPr>
          <w:p w14:paraId="23BCF736" w14:textId="77777777" w:rsidR="00C25181" w:rsidRPr="00C25181" w:rsidRDefault="00C25181" w:rsidP="009203AE">
            <w:pPr>
              <w:jc w:val="both"/>
              <w:rPr>
                <w:lang w:val="en-US"/>
              </w:rPr>
            </w:pPr>
            <w:r w:rsidRPr="00C25181">
              <w:rPr>
                <w:lang w:val="en-US"/>
              </w:rPr>
              <w:t>1 if farmer doesn’t know if his crops suffer from salinity, 0 otherwise</w:t>
            </w:r>
          </w:p>
        </w:tc>
      </w:tr>
    </w:tbl>
    <w:p w14:paraId="741D7C4B" w14:textId="77777777" w:rsidR="00C25181" w:rsidRPr="004A2882" w:rsidRDefault="00C25181" w:rsidP="00C25181">
      <w:pPr>
        <w:spacing w:after="0" w:line="240" w:lineRule="auto"/>
        <w:jc w:val="both"/>
        <w:rPr>
          <w:sz w:val="16"/>
          <w:szCs w:val="16"/>
          <w:lang w:val="en-US"/>
        </w:rPr>
      </w:pPr>
      <w:r w:rsidRPr="004A2882">
        <w:rPr>
          <w:sz w:val="16"/>
          <w:szCs w:val="16"/>
          <w:lang w:val="en-US"/>
        </w:rPr>
        <w:t>Notes: Variables with an * were not included in the econometric model in order to avoid the problem of Perfect Multicollinearity.</w:t>
      </w:r>
    </w:p>
    <w:p w14:paraId="54CD245A" w14:textId="4A763604" w:rsidR="0083122B" w:rsidRPr="00CC446F" w:rsidRDefault="00C25181" w:rsidP="00CC446F">
      <w:pPr>
        <w:spacing w:after="0" w:line="240" w:lineRule="auto"/>
        <w:jc w:val="both"/>
        <w:rPr>
          <w:sz w:val="16"/>
          <w:szCs w:val="16"/>
          <w:lang w:val="en-US"/>
        </w:rPr>
      </w:pPr>
      <w:r w:rsidRPr="004A2882">
        <w:rPr>
          <w:sz w:val="16"/>
          <w:szCs w:val="16"/>
          <w:lang w:val="en-US"/>
        </w:rPr>
        <w:t xml:space="preserve">The dummy </w:t>
      </w:r>
      <w:r w:rsidRPr="004A2882">
        <w:rPr>
          <w:b/>
          <w:i/>
          <w:sz w:val="16"/>
          <w:szCs w:val="16"/>
          <w:lang w:val="en-US"/>
        </w:rPr>
        <w:t>susk1</w:t>
      </w:r>
      <w:r w:rsidRPr="004A2882">
        <w:rPr>
          <w:sz w:val="16"/>
          <w:szCs w:val="16"/>
          <w:lang w:val="en-US"/>
        </w:rPr>
        <w:t xml:space="preserve"> was not included to the econometric model, as it had zero observations.</w:t>
      </w:r>
      <w:bookmarkStart w:id="1" w:name="_GoBack"/>
      <w:bookmarkEnd w:id="1"/>
    </w:p>
    <w:sectPr w:rsidR="0083122B" w:rsidRPr="00CC446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B2A6" w14:textId="77777777" w:rsidR="00387319" w:rsidRDefault="00387319" w:rsidP="0027782A">
      <w:pPr>
        <w:spacing w:after="0" w:line="240" w:lineRule="auto"/>
      </w:pPr>
      <w:r>
        <w:separator/>
      </w:r>
    </w:p>
  </w:endnote>
  <w:endnote w:type="continuationSeparator" w:id="0">
    <w:p w14:paraId="4E361CD3" w14:textId="77777777" w:rsidR="00387319" w:rsidRDefault="00387319" w:rsidP="002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Open Sans">
    <w:altName w:val="Verdana"/>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86C0" w14:textId="77777777" w:rsidR="00387319" w:rsidRDefault="00387319" w:rsidP="0027782A">
      <w:pPr>
        <w:spacing w:after="0" w:line="240" w:lineRule="auto"/>
      </w:pPr>
      <w:r>
        <w:separator/>
      </w:r>
    </w:p>
  </w:footnote>
  <w:footnote w:type="continuationSeparator" w:id="0">
    <w:p w14:paraId="19FB4311" w14:textId="77777777" w:rsidR="00387319" w:rsidRDefault="00387319" w:rsidP="0027782A">
      <w:pPr>
        <w:spacing w:after="0" w:line="240" w:lineRule="auto"/>
      </w:pPr>
      <w:r>
        <w:continuationSeparator/>
      </w:r>
    </w:p>
  </w:footnote>
  <w:footnote w:id="1">
    <w:p w14:paraId="6B365922" w14:textId="77777777" w:rsidR="00837CFD" w:rsidRPr="004A2882" w:rsidRDefault="00837CFD">
      <w:pPr>
        <w:pStyle w:val="FootnoteText"/>
        <w:rPr>
          <w:sz w:val="18"/>
          <w:szCs w:val="18"/>
          <w:lang w:val="en-US"/>
        </w:rPr>
      </w:pPr>
      <w:r w:rsidRPr="004A2882">
        <w:rPr>
          <w:rStyle w:val="FootnoteReference"/>
          <w:sz w:val="18"/>
          <w:szCs w:val="18"/>
        </w:rPr>
        <w:footnoteRef/>
      </w:r>
      <w:r w:rsidRPr="004A2882">
        <w:rPr>
          <w:sz w:val="18"/>
          <w:szCs w:val="18"/>
          <w:lang w:val="en-US"/>
        </w:rPr>
        <w:t xml:space="preserve"> Acres: Area of land where 1 acre equals to approximately 0.40 hectare</w:t>
      </w:r>
    </w:p>
  </w:footnote>
  <w:footnote w:id="2">
    <w:p w14:paraId="4F453AB7" w14:textId="77777777" w:rsidR="00837CFD" w:rsidRPr="004A2882" w:rsidRDefault="00837CFD" w:rsidP="00DB046F">
      <w:pPr>
        <w:pStyle w:val="FootnoteText"/>
        <w:jc w:val="both"/>
        <w:rPr>
          <w:sz w:val="18"/>
          <w:szCs w:val="18"/>
          <w:lang w:val="en-US"/>
        </w:rPr>
      </w:pPr>
      <w:r w:rsidRPr="004A2882">
        <w:rPr>
          <w:rStyle w:val="FootnoteReference"/>
          <w:sz w:val="18"/>
          <w:szCs w:val="18"/>
        </w:rPr>
        <w:footnoteRef/>
      </w:r>
      <w:r w:rsidRPr="004A2882">
        <w:rPr>
          <w:sz w:val="18"/>
          <w:szCs w:val="18"/>
          <w:lang w:val="en-US"/>
        </w:rPr>
        <w:t xml:space="preserve"> Secondary salinization of soils may be due to human induced practices and management in regard to irrigation (over irrigation, poor water quality) and drainage, high fertilizer input, grazing and deforestation. </w:t>
      </w:r>
    </w:p>
  </w:footnote>
  <w:footnote w:id="3">
    <w:p w14:paraId="6393A4F8" w14:textId="77777777" w:rsidR="00837CFD" w:rsidRPr="002A3817" w:rsidRDefault="00837CFD" w:rsidP="002A1D4D">
      <w:pPr>
        <w:pStyle w:val="FootnoteText"/>
        <w:jc w:val="both"/>
        <w:rPr>
          <w:lang w:val="en-US"/>
        </w:rPr>
      </w:pPr>
      <w:r>
        <w:rPr>
          <w:rStyle w:val="FootnoteReference"/>
        </w:rPr>
        <w:footnoteRef/>
      </w:r>
      <w:r w:rsidRPr="002A3817">
        <w:rPr>
          <w:lang w:val="en-US"/>
        </w:rPr>
        <w:t xml:space="preserve"> </w:t>
      </w:r>
      <w:r w:rsidRPr="00BB191B">
        <w:rPr>
          <w:sz w:val="18"/>
          <w:szCs w:val="18"/>
          <w:lang w:val="en-US"/>
        </w:rPr>
        <w:t>Techniques for measuring the WTP are categorized in those including revealed preferences (RP) and those including stated preferences (SP). The SP method asks directly individuals about their preferences. On the other hand, the RP method notices individuals’ behavior in markets. The advantage of SP method is that estimates use and non-use values while the RP method estimates the use value of a product or service.</w:t>
      </w:r>
    </w:p>
  </w:footnote>
  <w:footnote w:id="4">
    <w:p w14:paraId="40A32B3D" w14:textId="77777777" w:rsidR="00837CFD" w:rsidRPr="0011590C" w:rsidRDefault="00837CFD">
      <w:pPr>
        <w:pStyle w:val="FootnoteText"/>
        <w:rPr>
          <w:sz w:val="18"/>
          <w:szCs w:val="18"/>
          <w:lang w:val="en-US"/>
        </w:rPr>
      </w:pPr>
      <w:r w:rsidRPr="0011590C">
        <w:rPr>
          <w:rStyle w:val="FootnoteReference"/>
          <w:sz w:val="18"/>
          <w:szCs w:val="18"/>
        </w:rPr>
        <w:footnoteRef/>
      </w:r>
      <w:r w:rsidRPr="0011590C">
        <w:rPr>
          <w:sz w:val="18"/>
          <w:szCs w:val="18"/>
          <w:lang w:val="en-US"/>
        </w:rPr>
        <w:t xml:space="preserve"> </w:t>
      </w:r>
      <w:hyperlink r:id="rId1" w:history="1">
        <w:r w:rsidRPr="0011590C">
          <w:rPr>
            <w:rStyle w:val="Hyperlink"/>
            <w:sz w:val="18"/>
            <w:szCs w:val="18"/>
            <w:lang w:val="en-US"/>
          </w:rPr>
          <w:t>http://www.ecosystemvaluation.org</w:t>
        </w:r>
      </w:hyperlink>
    </w:p>
  </w:footnote>
  <w:footnote w:id="5">
    <w:p w14:paraId="3A7DC027" w14:textId="77777777" w:rsidR="00837CFD" w:rsidRPr="009E0696" w:rsidRDefault="00837CFD">
      <w:pPr>
        <w:pStyle w:val="FootnoteText"/>
        <w:rPr>
          <w:sz w:val="18"/>
          <w:szCs w:val="18"/>
          <w:lang w:val="en-US"/>
        </w:rPr>
      </w:pPr>
      <w:r w:rsidRPr="009E0696">
        <w:rPr>
          <w:rStyle w:val="FootnoteReference"/>
          <w:sz w:val="18"/>
          <w:szCs w:val="18"/>
        </w:rPr>
        <w:footnoteRef/>
      </w:r>
      <w:r w:rsidRPr="009E0696">
        <w:rPr>
          <w:sz w:val="18"/>
          <w:szCs w:val="18"/>
          <w:lang w:val="en-US"/>
        </w:rPr>
        <w:t xml:space="preserve"> For more details see: Mitchell and Carson,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7E4"/>
    <w:multiLevelType w:val="hybridMultilevel"/>
    <w:tmpl w:val="34F405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D02374"/>
    <w:multiLevelType w:val="hybridMultilevel"/>
    <w:tmpl w:val="C0EEE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0E"/>
    <w:rsid w:val="00001F11"/>
    <w:rsid w:val="00002A8D"/>
    <w:rsid w:val="00002C08"/>
    <w:rsid w:val="00002DA3"/>
    <w:rsid w:val="0000743F"/>
    <w:rsid w:val="000133DA"/>
    <w:rsid w:val="000144C0"/>
    <w:rsid w:val="00014678"/>
    <w:rsid w:val="00016982"/>
    <w:rsid w:val="00016EA8"/>
    <w:rsid w:val="00027086"/>
    <w:rsid w:val="00027407"/>
    <w:rsid w:val="0003172B"/>
    <w:rsid w:val="000322E9"/>
    <w:rsid w:val="0003509A"/>
    <w:rsid w:val="00036812"/>
    <w:rsid w:val="00037928"/>
    <w:rsid w:val="00040D63"/>
    <w:rsid w:val="00040E69"/>
    <w:rsid w:val="00040EDD"/>
    <w:rsid w:val="00044540"/>
    <w:rsid w:val="00044935"/>
    <w:rsid w:val="0004694E"/>
    <w:rsid w:val="0005010C"/>
    <w:rsid w:val="000534AE"/>
    <w:rsid w:val="00053D16"/>
    <w:rsid w:val="0005518C"/>
    <w:rsid w:val="000568B2"/>
    <w:rsid w:val="00056E46"/>
    <w:rsid w:val="00060E0C"/>
    <w:rsid w:val="00062F3A"/>
    <w:rsid w:val="00063CA5"/>
    <w:rsid w:val="00063F67"/>
    <w:rsid w:val="00066FF5"/>
    <w:rsid w:val="00067802"/>
    <w:rsid w:val="00067E63"/>
    <w:rsid w:val="00070610"/>
    <w:rsid w:val="00070ECF"/>
    <w:rsid w:val="00072175"/>
    <w:rsid w:val="000744CB"/>
    <w:rsid w:val="00075B30"/>
    <w:rsid w:val="0007658A"/>
    <w:rsid w:val="00083064"/>
    <w:rsid w:val="00084207"/>
    <w:rsid w:val="000861A2"/>
    <w:rsid w:val="000872A7"/>
    <w:rsid w:val="00090571"/>
    <w:rsid w:val="00092B4E"/>
    <w:rsid w:val="000930BA"/>
    <w:rsid w:val="00093446"/>
    <w:rsid w:val="00094A02"/>
    <w:rsid w:val="0009677A"/>
    <w:rsid w:val="0009725F"/>
    <w:rsid w:val="000A068B"/>
    <w:rsid w:val="000A0DC1"/>
    <w:rsid w:val="000A4FDE"/>
    <w:rsid w:val="000A6417"/>
    <w:rsid w:val="000A6DBA"/>
    <w:rsid w:val="000A7055"/>
    <w:rsid w:val="000A7339"/>
    <w:rsid w:val="000B0618"/>
    <w:rsid w:val="000B2128"/>
    <w:rsid w:val="000B2A02"/>
    <w:rsid w:val="000B2ED4"/>
    <w:rsid w:val="000B48B9"/>
    <w:rsid w:val="000B703E"/>
    <w:rsid w:val="000C0F56"/>
    <w:rsid w:val="000C5159"/>
    <w:rsid w:val="000C5ABC"/>
    <w:rsid w:val="000C5AD3"/>
    <w:rsid w:val="000C7A60"/>
    <w:rsid w:val="000D28EC"/>
    <w:rsid w:val="000D551E"/>
    <w:rsid w:val="000D6139"/>
    <w:rsid w:val="000D63C0"/>
    <w:rsid w:val="000D651A"/>
    <w:rsid w:val="000D661C"/>
    <w:rsid w:val="000D753D"/>
    <w:rsid w:val="000E02D7"/>
    <w:rsid w:val="000E0D7D"/>
    <w:rsid w:val="000E1046"/>
    <w:rsid w:val="000E3822"/>
    <w:rsid w:val="000E3B23"/>
    <w:rsid w:val="000E7EE2"/>
    <w:rsid w:val="000F334A"/>
    <w:rsid w:val="001001BA"/>
    <w:rsid w:val="00101FCF"/>
    <w:rsid w:val="001025B3"/>
    <w:rsid w:val="001050B5"/>
    <w:rsid w:val="0011312D"/>
    <w:rsid w:val="00114045"/>
    <w:rsid w:val="0011590C"/>
    <w:rsid w:val="00116458"/>
    <w:rsid w:val="00117998"/>
    <w:rsid w:val="0012035E"/>
    <w:rsid w:val="0012291F"/>
    <w:rsid w:val="00122A61"/>
    <w:rsid w:val="001259F3"/>
    <w:rsid w:val="00125E26"/>
    <w:rsid w:val="00126FE5"/>
    <w:rsid w:val="00132A61"/>
    <w:rsid w:val="0013392C"/>
    <w:rsid w:val="00140202"/>
    <w:rsid w:val="00141A57"/>
    <w:rsid w:val="001433A2"/>
    <w:rsid w:val="00144C00"/>
    <w:rsid w:val="00146D37"/>
    <w:rsid w:val="001477D2"/>
    <w:rsid w:val="0015057B"/>
    <w:rsid w:val="00150CF3"/>
    <w:rsid w:val="00151F07"/>
    <w:rsid w:val="00152F10"/>
    <w:rsid w:val="001541B1"/>
    <w:rsid w:val="00160C78"/>
    <w:rsid w:val="001625B8"/>
    <w:rsid w:val="0016388E"/>
    <w:rsid w:val="00167B57"/>
    <w:rsid w:val="00174209"/>
    <w:rsid w:val="00176F98"/>
    <w:rsid w:val="001770A1"/>
    <w:rsid w:val="001772F1"/>
    <w:rsid w:val="001778CB"/>
    <w:rsid w:val="00181A6B"/>
    <w:rsid w:val="0018657D"/>
    <w:rsid w:val="00190009"/>
    <w:rsid w:val="001900F5"/>
    <w:rsid w:val="00193CB7"/>
    <w:rsid w:val="00194681"/>
    <w:rsid w:val="001961EA"/>
    <w:rsid w:val="00196A6E"/>
    <w:rsid w:val="00197CBC"/>
    <w:rsid w:val="001A1EA5"/>
    <w:rsid w:val="001A649F"/>
    <w:rsid w:val="001A6572"/>
    <w:rsid w:val="001B014C"/>
    <w:rsid w:val="001B043B"/>
    <w:rsid w:val="001B256C"/>
    <w:rsid w:val="001B377F"/>
    <w:rsid w:val="001B4940"/>
    <w:rsid w:val="001B52D4"/>
    <w:rsid w:val="001B7090"/>
    <w:rsid w:val="001C088C"/>
    <w:rsid w:val="001C11BC"/>
    <w:rsid w:val="001C21D5"/>
    <w:rsid w:val="001C36E5"/>
    <w:rsid w:val="001C4CFB"/>
    <w:rsid w:val="001C533F"/>
    <w:rsid w:val="001D0795"/>
    <w:rsid w:val="001D1C61"/>
    <w:rsid w:val="001D33EA"/>
    <w:rsid w:val="001D3745"/>
    <w:rsid w:val="001D77A7"/>
    <w:rsid w:val="001D79E1"/>
    <w:rsid w:val="001E10E2"/>
    <w:rsid w:val="001E1303"/>
    <w:rsid w:val="001E2973"/>
    <w:rsid w:val="001E3258"/>
    <w:rsid w:val="001E6E71"/>
    <w:rsid w:val="001E7620"/>
    <w:rsid w:val="001E7F70"/>
    <w:rsid w:val="001F5BAB"/>
    <w:rsid w:val="001F5E37"/>
    <w:rsid w:val="001F751C"/>
    <w:rsid w:val="00200C16"/>
    <w:rsid w:val="002024BE"/>
    <w:rsid w:val="00202F14"/>
    <w:rsid w:val="00203F16"/>
    <w:rsid w:val="00204631"/>
    <w:rsid w:val="002046EB"/>
    <w:rsid w:val="00205F45"/>
    <w:rsid w:val="00206D85"/>
    <w:rsid w:val="0021042A"/>
    <w:rsid w:val="0021152F"/>
    <w:rsid w:val="0021437F"/>
    <w:rsid w:val="0021682B"/>
    <w:rsid w:val="00217827"/>
    <w:rsid w:val="00217D69"/>
    <w:rsid w:val="0022100A"/>
    <w:rsid w:val="002212B1"/>
    <w:rsid w:val="00222A57"/>
    <w:rsid w:val="002233BA"/>
    <w:rsid w:val="002237BC"/>
    <w:rsid w:val="00224E36"/>
    <w:rsid w:val="00225224"/>
    <w:rsid w:val="00227A90"/>
    <w:rsid w:val="00231EB4"/>
    <w:rsid w:val="002326C4"/>
    <w:rsid w:val="00232B0A"/>
    <w:rsid w:val="00241110"/>
    <w:rsid w:val="00241508"/>
    <w:rsid w:val="00241F96"/>
    <w:rsid w:val="002458F7"/>
    <w:rsid w:val="00246BEE"/>
    <w:rsid w:val="002472B0"/>
    <w:rsid w:val="00251C45"/>
    <w:rsid w:val="0025361A"/>
    <w:rsid w:val="0025439F"/>
    <w:rsid w:val="002576D7"/>
    <w:rsid w:val="00257B74"/>
    <w:rsid w:val="00261F1C"/>
    <w:rsid w:val="00262D70"/>
    <w:rsid w:val="002639C4"/>
    <w:rsid w:val="00263CAE"/>
    <w:rsid w:val="00264A68"/>
    <w:rsid w:val="00265349"/>
    <w:rsid w:val="00265AE6"/>
    <w:rsid w:val="00265BE3"/>
    <w:rsid w:val="00273381"/>
    <w:rsid w:val="002755ED"/>
    <w:rsid w:val="0027677A"/>
    <w:rsid w:val="00276CA8"/>
    <w:rsid w:val="00276D7B"/>
    <w:rsid w:val="0027782A"/>
    <w:rsid w:val="00280634"/>
    <w:rsid w:val="00283CF3"/>
    <w:rsid w:val="00285720"/>
    <w:rsid w:val="0028572F"/>
    <w:rsid w:val="0028597C"/>
    <w:rsid w:val="00287328"/>
    <w:rsid w:val="002941F6"/>
    <w:rsid w:val="002A1D4D"/>
    <w:rsid w:val="002A3013"/>
    <w:rsid w:val="002A3817"/>
    <w:rsid w:val="002A5DEB"/>
    <w:rsid w:val="002B26C4"/>
    <w:rsid w:val="002B3721"/>
    <w:rsid w:val="002B4854"/>
    <w:rsid w:val="002B4953"/>
    <w:rsid w:val="002B510E"/>
    <w:rsid w:val="002B5C54"/>
    <w:rsid w:val="002B7EA9"/>
    <w:rsid w:val="002C12E5"/>
    <w:rsid w:val="002C37B7"/>
    <w:rsid w:val="002C4508"/>
    <w:rsid w:val="002D1F0F"/>
    <w:rsid w:val="002D46C2"/>
    <w:rsid w:val="002D4E81"/>
    <w:rsid w:val="002D5BC5"/>
    <w:rsid w:val="002D6D69"/>
    <w:rsid w:val="002E180D"/>
    <w:rsid w:val="002E1C29"/>
    <w:rsid w:val="002E1DD1"/>
    <w:rsid w:val="002E5983"/>
    <w:rsid w:val="002E7A55"/>
    <w:rsid w:val="002F0D7E"/>
    <w:rsid w:val="002F3B5F"/>
    <w:rsid w:val="002F5883"/>
    <w:rsid w:val="002F616E"/>
    <w:rsid w:val="002F6233"/>
    <w:rsid w:val="002F7D57"/>
    <w:rsid w:val="0030646C"/>
    <w:rsid w:val="003071BA"/>
    <w:rsid w:val="00307B62"/>
    <w:rsid w:val="003116B3"/>
    <w:rsid w:val="00312986"/>
    <w:rsid w:val="0031351A"/>
    <w:rsid w:val="00313A0C"/>
    <w:rsid w:val="00315514"/>
    <w:rsid w:val="00316B16"/>
    <w:rsid w:val="0031768F"/>
    <w:rsid w:val="00322484"/>
    <w:rsid w:val="00322493"/>
    <w:rsid w:val="00322533"/>
    <w:rsid w:val="00324F51"/>
    <w:rsid w:val="00325B90"/>
    <w:rsid w:val="00327005"/>
    <w:rsid w:val="003271DB"/>
    <w:rsid w:val="00327260"/>
    <w:rsid w:val="0033147A"/>
    <w:rsid w:val="00331619"/>
    <w:rsid w:val="00334BE2"/>
    <w:rsid w:val="00335A4C"/>
    <w:rsid w:val="00337B54"/>
    <w:rsid w:val="00337CF3"/>
    <w:rsid w:val="00340233"/>
    <w:rsid w:val="003419F9"/>
    <w:rsid w:val="0034348C"/>
    <w:rsid w:val="00343656"/>
    <w:rsid w:val="0034509B"/>
    <w:rsid w:val="00345C62"/>
    <w:rsid w:val="00356089"/>
    <w:rsid w:val="003560CB"/>
    <w:rsid w:val="00356A6C"/>
    <w:rsid w:val="00360085"/>
    <w:rsid w:val="0036134F"/>
    <w:rsid w:val="0036419B"/>
    <w:rsid w:val="003644EE"/>
    <w:rsid w:val="00364836"/>
    <w:rsid w:val="0036644A"/>
    <w:rsid w:val="00366580"/>
    <w:rsid w:val="00367C86"/>
    <w:rsid w:val="0037187C"/>
    <w:rsid w:val="00372359"/>
    <w:rsid w:val="0037244D"/>
    <w:rsid w:val="003724C4"/>
    <w:rsid w:val="00372F0B"/>
    <w:rsid w:val="00374EDC"/>
    <w:rsid w:val="0038073E"/>
    <w:rsid w:val="00383B43"/>
    <w:rsid w:val="00387319"/>
    <w:rsid w:val="00396E0E"/>
    <w:rsid w:val="003978DC"/>
    <w:rsid w:val="00397C27"/>
    <w:rsid w:val="00397ED6"/>
    <w:rsid w:val="003A0CDD"/>
    <w:rsid w:val="003A0E78"/>
    <w:rsid w:val="003A0F07"/>
    <w:rsid w:val="003A3F59"/>
    <w:rsid w:val="003A5AAE"/>
    <w:rsid w:val="003A63D4"/>
    <w:rsid w:val="003A6E45"/>
    <w:rsid w:val="003B03EE"/>
    <w:rsid w:val="003B05B3"/>
    <w:rsid w:val="003B0A8A"/>
    <w:rsid w:val="003B2F2A"/>
    <w:rsid w:val="003B3721"/>
    <w:rsid w:val="003B5ABC"/>
    <w:rsid w:val="003B61B8"/>
    <w:rsid w:val="003B6AE4"/>
    <w:rsid w:val="003B6B8C"/>
    <w:rsid w:val="003B73B5"/>
    <w:rsid w:val="003C03B2"/>
    <w:rsid w:val="003C1FE3"/>
    <w:rsid w:val="003C457E"/>
    <w:rsid w:val="003C482A"/>
    <w:rsid w:val="003C4DEF"/>
    <w:rsid w:val="003C7674"/>
    <w:rsid w:val="003D1B05"/>
    <w:rsid w:val="003D5298"/>
    <w:rsid w:val="003E35C6"/>
    <w:rsid w:val="003E4A81"/>
    <w:rsid w:val="003E63F7"/>
    <w:rsid w:val="003E661E"/>
    <w:rsid w:val="003F0230"/>
    <w:rsid w:val="003F09EA"/>
    <w:rsid w:val="003F3173"/>
    <w:rsid w:val="003F63C6"/>
    <w:rsid w:val="003F65A4"/>
    <w:rsid w:val="004003E2"/>
    <w:rsid w:val="004034AE"/>
    <w:rsid w:val="0040483C"/>
    <w:rsid w:val="00405898"/>
    <w:rsid w:val="00406433"/>
    <w:rsid w:val="004066FD"/>
    <w:rsid w:val="00406793"/>
    <w:rsid w:val="00406CF8"/>
    <w:rsid w:val="004076D9"/>
    <w:rsid w:val="0041096F"/>
    <w:rsid w:val="00422122"/>
    <w:rsid w:val="00423719"/>
    <w:rsid w:val="0042372A"/>
    <w:rsid w:val="004242A8"/>
    <w:rsid w:val="00425CF8"/>
    <w:rsid w:val="00430A81"/>
    <w:rsid w:val="00430F36"/>
    <w:rsid w:val="0043104B"/>
    <w:rsid w:val="00431BDC"/>
    <w:rsid w:val="00431C6A"/>
    <w:rsid w:val="004321DA"/>
    <w:rsid w:val="00433071"/>
    <w:rsid w:val="0043444A"/>
    <w:rsid w:val="00434853"/>
    <w:rsid w:val="00434D8D"/>
    <w:rsid w:val="0044022E"/>
    <w:rsid w:val="00440BE3"/>
    <w:rsid w:val="00442666"/>
    <w:rsid w:val="00442B69"/>
    <w:rsid w:val="00442BE1"/>
    <w:rsid w:val="00444F3B"/>
    <w:rsid w:val="00445260"/>
    <w:rsid w:val="00445D84"/>
    <w:rsid w:val="00445D85"/>
    <w:rsid w:val="004463BD"/>
    <w:rsid w:val="00447946"/>
    <w:rsid w:val="00450F00"/>
    <w:rsid w:val="004517F4"/>
    <w:rsid w:val="004572A4"/>
    <w:rsid w:val="00457906"/>
    <w:rsid w:val="00461440"/>
    <w:rsid w:val="00461536"/>
    <w:rsid w:val="004636AD"/>
    <w:rsid w:val="00463C70"/>
    <w:rsid w:val="00464233"/>
    <w:rsid w:val="0047265F"/>
    <w:rsid w:val="004839D8"/>
    <w:rsid w:val="004865E0"/>
    <w:rsid w:val="00487131"/>
    <w:rsid w:val="00487901"/>
    <w:rsid w:val="00492871"/>
    <w:rsid w:val="00495A31"/>
    <w:rsid w:val="0049608D"/>
    <w:rsid w:val="00496BFC"/>
    <w:rsid w:val="00497700"/>
    <w:rsid w:val="004A1342"/>
    <w:rsid w:val="004A2200"/>
    <w:rsid w:val="004A2882"/>
    <w:rsid w:val="004A33B5"/>
    <w:rsid w:val="004A6CC6"/>
    <w:rsid w:val="004A7698"/>
    <w:rsid w:val="004B7C8A"/>
    <w:rsid w:val="004C0557"/>
    <w:rsid w:val="004C7686"/>
    <w:rsid w:val="004D2629"/>
    <w:rsid w:val="004D2900"/>
    <w:rsid w:val="004D43AF"/>
    <w:rsid w:val="004D5307"/>
    <w:rsid w:val="004E02E0"/>
    <w:rsid w:val="004E2E1B"/>
    <w:rsid w:val="004E32AD"/>
    <w:rsid w:val="004E5473"/>
    <w:rsid w:val="004E6AFE"/>
    <w:rsid w:val="004F2906"/>
    <w:rsid w:val="004F4C76"/>
    <w:rsid w:val="00500E37"/>
    <w:rsid w:val="00500E60"/>
    <w:rsid w:val="0050275F"/>
    <w:rsid w:val="005027D9"/>
    <w:rsid w:val="00503030"/>
    <w:rsid w:val="00511785"/>
    <w:rsid w:val="005137F2"/>
    <w:rsid w:val="00514D48"/>
    <w:rsid w:val="005164A5"/>
    <w:rsid w:val="00516A6D"/>
    <w:rsid w:val="0052093F"/>
    <w:rsid w:val="00522D33"/>
    <w:rsid w:val="00527A96"/>
    <w:rsid w:val="0053550F"/>
    <w:rsid w:val="005358E0"/>
    <w:rsid w:val="00535D15"/>
    <w:rsid w:val="005364A5"/>
    <w:rsid w:val="00536520"/>
    <w:rsid w:val="00536E40"/>
    <w:rsid w:val="00541A30"/>
    <w:rsid w:val="00541B79"/>
    <w:rsid w:val="00541D2C"/>
    <w:rsid w:val="005421CF"/>
    <w:rsid w:val="00543FEC"/>
    <w:rsid w:val="00544F80"/>
    <w:rsid w:val="00552136"/>
    <w:rsid w:val="00553833"/>
    <w:rsid w:val="005542FC"/>
    <w:rsid w:val="00554F9F"/>
    <w:rsid w:val="00555E01"/>
    <w:rsid w:val="0055778B"/>
    <w:rsid w:val="00564A64"/>
    <w:rsid w:val="00565695"/>
    <w:rsid w:val="005667D0"/>
    <w:rsid w:val="00570988"/>
    <w:rsid w:val="00573AC9"/>
    <w:rsid w:val="00574581"/>
    <w:rsid w:val="00576C49"/>
    <w:rsid w:val="00576F21"/>
    <w:rsid w:val="00580A00"/>
    <w:rsid w:val="00581069"/>
    <w:rsid w:val="005814ED"/>
    <w:rsid w:val="0058277D"/>
    <w:rsid w:val="005852CB"/>
    <w:rsid w:val="00593EF6"/>
    <w:rsid w:val="00596488"/>
    <w:rsid w:val="005A1F2B"/>
    <w:rsid w:val="005A1F56"/>
    <w:rsid w:val="005A4F3C"/>
    <w:rsid w:val="005A61B2"/>
    <w:rsid w:val="005A6317"/>
    <w:rsid w:val="005A6328"/>
    <w:rsid w:val="005B0361"/>
    <w:rsid w:val="005B644A"/>
    <w:rsid w:val="005C1B39"/>
    <w:rsid w:val="005C1E2A"/>
    <w:rsid w:val="005C2BBA"/>
    <w:rsid w:val="005C2E9E"/>
    <w:rsid w:val="005C562B"/>
    <w:rsid w:val="005C6876"/>
    <w:rsid w:val="005D104B"/>
    <w:rsid w:val="005D1B43"/>
    <w:rsid w:val="005D273A"/>
    <w:rsid w:val="005D5747"/>
    <w:rsid w:val="005D6D92"/>
    <w:rsid w:val="005E3F6C"/>
    <w:rsid w:val="005E4D82"/>
    <w:rsid w:val="005E4DD3"/>
    <w:rsid w:val="005E55C8"/>
    <w:rsid w:val="005E7B9C"/>
    <w:rsid w:val="005F089A"/>
    <w:rsid w:val="005F1296"/>
    <w:rsid w:val="005F203E"/>
    <w:rsid w:val="005F44E2"/>
    <w:rsid w:val="005F6434"/>
    <w:rsid w:val="005F6DD2"/>
    <w:rsid w:val="00602469"/>
    <w:rsid w:val="00604DBD"/>
    <w:rsid w:val="00604E62"/>
    <w:rsid w:val="006051B8"/>
    <w:rsid w:val="00605BB6"/>
    <w:rsid w:val="0060651C"/>
    <w:rsid w:val="00607D6E"/>
    <w:rsid w:val="006110D0"/>
    <w:rsid w:val="0061197D"/>
    <w:rsid w:val="00612230"/>
    <w:rsid w:val="006134FC"/>
    <w:rsid w:val="00613D99"/>
    <w:rsid w:val="00613E5E"/>
    <w:rsid w:val="0061434E"/>
    <w:rsid w:val="00622266"/>
    <w:rsid w:val="006229CB"/>
    <w:rsid w:val="006237B8"/>
    <w:rsid w:val="00623D20"/>
    <w:rsid w:val="00625FF9"/>
    <w:rsid w:val="00626089"/>
    <w:rsid w:val="00626BF3"/>
    <w:rsid w:val="00627D96"/>
    <w:rsid w:val="00630706"/>
    <w:rsid w:val="00630B98"/>
    <w:rsid w:val="0064255A"/>
    <w:rsid w:val="00644102"/>
    <w:rsid w:val="0064430E"/>
    <w:rsid w:val="00644369"/>
    <w:rsid w:val="00645EA2"/>
    <w:rsid w:val="00650CE9"/>
    <w:rsid w:val="0065110B"/>
    <w:rsid w:val="0066468A"/>
    <w:rsid w:val="006651F6"/>
    <w:rsid w:val="00670010"/>
    <w:rsid w:val="0067044E"/>
    <w:rsid w:val="0067076B"/>
    <w:rsid w:val="00670D3C"/>
    <w:rsid w:val="00671320"/>
    <w:rsid w:val="00671C5E"/>
    <w:rsid w:val="00672C4B"/>
    <w:rsid w:val="006742DE"/>
    <w:rsid w:val="00674661"/>
    <w:rsid w:val="006753F1"/>
    <w:rsid w:val="006754BF"/>
    <w:rsid w:val="00676AA6"/>
    <w:rsid w:val="00676C3C"/>
    <w:rsid w:val="00680AE9"/>
    <w:rsid w:val="00681A10"/>
    <w:rsid w:val="00684A87"/>
    <w:rsid w:val="00687031"/>
    <w:rsid w:val="0069237F"/>
    <w:rsid w:val="006936D1"/>
    <w:rsid w:val="00693906"/>
    <w:rsid w:val="0069694C"/>
    <w:rsid w:val="006A0BDB"/>
    <w:rsid w:val="006A0F6B"/>
    <w:rsid w:val="006A1B74"/>
    <w:rsid w:val="006A263C"/>
    <w:rsid w:val="006A27A4"/>
    <w:rsid w:val="006A40FA"/>
    <w:rsid w:val="006B4DC3"/>
    <w:rsid w:val="006B4DFE"/>
    <w:rsid w:val="006B5C69"/>
    <w:rsid w:val="006B5FF9"/>
    <w:rsid w:val="006B7E10"/>
    <w:rsid w:val="006C1F94"/>
    <w:rsid w:val="006C1FF0"/>
    <w:rsid w:val="006C236F"/>
    <w:rsid w:val="006C3E73"/>
    <w:rsid w:val="006C4A2A"/>
    <w:rsid w:val="006C4D74"/>
    <w:rsid w:val="006C7F8C"/>
    <w:rsid w:val="006D1019"/>
    <w:rsid w:val="006D112A"/>
    <w:rsid w:val="006D1D95"/>
    <w:rsid w:val="006D36DE"/>
    <w:rsid w:val="006D4058"/>
    <w:rsid w:val="006D4507"/>
    <w:rsid w:val="006D57E1"/>
    <w:rsid w:val="006D5BAB"/>
    <w:rsid w:val="006D624B"/>
    <w:rsid w:val="006E0858"/>
    <w:rsid w:val="006E3909"/>
    <w:rsid w:val="006E49A9"/>
    <w:rsid w:val="006E580D"/>
    <w:rsid w:val="006E73CA"/>
    <w:rsid w:val="006F1F56"/>
    <w:rsid w:val="006F2BA0"/>
    <w:rsid w:val="006F384F"/>
    <w:rsid w:val="006F60D6"/>
    <w:rsid w:val="00700B31"/>
    <w:rsid w:val="0070108B"/>
    <w:rsid w:val="00706740"/>
    <w:rsid w:val="00706D0B"/>
    <w:rsid w:val="00711757"/>
    <w:rsid w:val="00717497"/>
    <w:rsid w:val="00724010"/>
    <w:rsid w:val="0072472D"/>
    <w:rsid w:val="00726171"/>
    <w:rsid w:val="00733EC4"/>
    <w:rsid w:val="00734002"/>
    <w:rsid w:val="00734D7A"/>
    <w:rsid w:val="00735A4F"/>
    <w:rsid w:val="00735CAD"/>
    <w:rsid w:val="007362EA"/>
    <w:rsid w:val="00737672"/>
    <w:rsid w:val="007376DD"/>
    <w:rsid w:val="007416FA"/>
    <w:rsid w:val="0074220A"/>
    <w:rsid w:val="00742C90"/>
    <w:rsid w:val="00744709"/>
    <w:rsid w:val="00745E24"/>
    <w:rsid w:val="007465AC"/>
    <w:rsid w:val="007468A5"/>
    <w:rsid w:val="007500CB"/>
    <w:rsid w:val="007553B2"/>
    <w:rsid w:val="007602D6"/>
    <w:rsid w:val="0076213B"/>
    <w:rsid w:val="00764737"/>
    <w:rsid w:val="00764D23"/>
    <w:rsid w:val="007653B1"/>
    <w:rsid w:val="00765D30"/>
    <w:rsid w:val="00765DA5"/>
    <w:rsid w:val="0077031B"/>
    <w:rsid w:val="00771292"/>
    <w:rsid w:val="00773ED1"/>
    <w:rsid w:val="007771AC"/>
    <w:rsid w:val="00777DBC"/>
    <w:rsid w:val="00777E9E"/>
    <w:rsid w:val="00781883"/>
    <w:rsid w:val="00781A1D"/>
    <w:rsid w:val="007824E5"/>
    <w:rsid w:val="007825AF"/>
    <w:rsid w:val="00786F76"/>
    <w:rsid w:val="00787130"/>
    <w:rsid w:val="007878A5"/>
    <w:rsid w:val="00793DDF"/>
    <w:rsid w:val="0079481E"/>
    <w:rsid w:val="007967E2"/>
    <w:rsid w:val="00796E7D"/>
    <w:rsid w:val="007A0090"/>
    <w:rsid w:val="007A7DC9"/>
    <w:rsid w:val="007B35B7"/>
    <w:rsid w:val="007B6249"/>
    <w:rsid w:val="007B6E95"/>
    <w:rsid w:val="007B781E"/>
    <w:rsid w:val="007B794A"/>
    <w:rsid w:val="007C01A4"/>
    <w:rsid w:val="007C1E9E"/>
    <w:rsid w:val="007D3336"/>
    <w:rsid w:val="007D43C1"/>
    <w:rsid w:val="007D53F2"/>
    <w:rsid w:val="007D5F72"/>
    <w:rsid w:val="007D787E"/>
    <w:rsid w:val="007E0139"/>
    <w:rsid w:val="007E2223"/>
    <w:rsid w:val="007E33B8"/>
    <w:rsid w:val="007E6F4A"/>
    <w:rsid w:val="007F4B7D"/>
    <w:rsid w:val="007F59E8"/>
    <w:rsid w:val="007F6554"/>
    <w:rsid w:val="007F7293"/>
    <w:rsid w:val="007F7695"/>
    <w:rsid w:val="007F7F4C"/>
    <w:rsid w:val="00800738"/>
    <w:rsid w:val="00800FF9"/>
    <w:rsid w:val="008014AC"/>
    <w:rsid w:val="00804927"/>
    <w:rsid w:val="00805A9A"/>
    <w:rsid w:val="00810C83"/>
    <w:rsid w:val="0081172A"/>
    <w:rsid w:val="00812309"/>
    <w:rsid w:val="00812E7F"/>
    <w:rsid w:val="008130FF"/>
    <w:rsid w:val="008143D5"/>
    <w:rsid w:val="008158DF"/>
    <w:rsid w:val="008159ED"/>
    <w:rsid w:val="008162B6"/>
    <w:rsid w:val="0081751C"/>
    <w:rsid w:val="008201A2"/>
    <w:rsid w:val="008218FA"/>
    <w:rsid w:val="008230A7"/>
    <w:rsid w:val="00823C9F"/>
    <w:rsid w:val="00825A34"/>
    <w:rsid w:val="00825DAA"/>
    <w:rsid w:val="00827403"/>
    <w:rsid w:val="008275AF"/>
    <w:rsid w:val="0083122B"/>
    <w:rsid w:val="00832D3E"/>
    <w:rsid w:val="00836FFF"/>
    <w:rsid w:val="00837C5A"/>
    <w:rsid w:val="00837CFD"/>
    <w:rsid w:val="00841791"/>
    <w:rsid w:val="00844454"/>
    <w:rsid w:val="0085010F"/>
    <w:rsid w:val="00850BCB"/>
    <w:rsid w:val="00850ED2"/>
    <w:rsid w:val="00851209"/>
    <w:rsid w:val="00853F01"/>
    <w:rsid w:val="00855946"/>
    <w:rsid w:val="00855D9D"/>
    <w:rsid w:val="00855EF3"/>
    <w:rsid w:val="008560D1"/>
    <w:rsid w:val="00856EB5"/>
    <w:rsid w:val="00857E79"/>
    <w:rsid w:val="00861FAF"/>
    <w:rsid w:val="008676B2"/>
    <w:rsid w:val="00870111"/>
    <w:rsid w:val="008704C4"/>
    <w:rsid w:val="00873B9B"/>
    <w:rsid w:val="00880C41"/>
    <w:rsid w:val="00882CB1"/>
    <w:rsid w:val="008831FD"/>
    <w:rsid w:val="00885D78"/>
    <w:rsid w:val="0088770B"/>
    <w:rsid w:val="00891467"/>
    <w:rsid w:val="00892E6D"/>
    <w:rsid w:val="00894588"/>
    <w:rsid w:val="00896619"/>
    <w:rsid w:val="008976D9"/>
    <w:rsid w:val="008A0339"/>
    <w:rsid w:val="008A2C47"/>
    <w:rsid w:val="008A3B65"/>
    <w:rsid w:val="008A4094"/>
    <w:rsid w:val="008A6A1A"/>
    <w:rsid w:val="008A7B09"/>
    <w:rsid w:val="008B01D0"/>
    <w:rsid w:val="008B057F"/>
    <w:rsid w:val="008B46D6"/>
    <w:rsid w:val="008B4D45"/>
    <w:rsid w:val="008B71C7"/>
    <w:rsid w:val="008C113A"/>
    <w:rsid w:val="008C154B"/>
    <w:rsid w:val="008C1D16"/>
    <w:rsid w:val="008C5DCA"/>
    <w:rsid w:val="008C7703"/>
    <w:rsid w:val="008D01DB"/>
    <w:rsid w:val="008D3B4F"/>
    <w:rsid w:val="008D5956"/>
    <w:rsid w:val="008D5BF3"/>
    <w:rsid w:val="008D6B5F"/>
    <w:rsid w:val="008D6CFE"/>
    <w:rsid w:val="008E03AB"/>
    <w:rsid w:val="008E1D36"/>
    <w:rsid w:val="008E3994"/>
    <w:rsid w:val="008E43E8"/>
    <w:rsid w:val="008F0170"/>
    <w:rsid w:val="008F1476"/>
    <w:rsid w:val="008F1C9C"/>
    <w:rsid w:val="008F201B"/>
    <w:rsid w:val="008F564B"/>
    <w:rsid w:val="008F574B"/>
    <w:rsid w:val="008F5F44"/>
    <w:rsid w:val="00900C8D"/>
    <w:rsid w:val="009036A5"/>
    <w:rsid w:val="009039E4"/>
    <w:rsid w:val="00904276"/>
    <w:rsid w:val="00904BEE"/>
    <w:rsid w:val="00910BA9"/>
    <w:rsid w:val="009122CF"/>
    <w:rsid w:val="00913A5B"/>
    <w:rsid w:val="009203AE"/>
    <w:rsid w:val="009203D5"/>
    <w:rsid w:val="009205BF"/>
    <w:rsid w:val="00924033"/>
    <w:rsid w:val="00925C2D"/>
    <w:rsid w:val="00926EB7"/>
    <w:rsid w:val="00927318"/>
    <w:rsid w:val="009277DC"/>
    <w:rsid w:val="00930C0B"/>
    <w:rsid w:val="00930ED3"/>
    <w:rsid w:val="00932982"/>
    <w:rsid w:val="00932BA1"/>
    <w:rsid w:val="00933309"/>
    <w:rsid w:val="00933AF4"/>
    <w:rsid w:val="009354DC"/>
    <w:rsid w:val="00935CB8"/>
    <w:rsid w:val="00936E9A"/>
    <w:rsid w:val="00936F4F"/>
    <w:rsid w:val="00937992"/>
    <w:rsid w:val="0094042E"/>
    <w:rsid w:val="009423EA"/>
    <w:rsid w:val="009427B6"/>
    <w:rsid w:val="00944A12"/>
    <w:rsid w:val="00945833"/>
    <w:rsid w:val="00946733"/>
    <w:rsid w:val="00946B12"/>
    <w:rsid w:val="009529B2"/>
    <w:rsid w:val="0095478E"/>
    <w:rsid w:val="009550E5"/>
    <w:rsid w:val="00960DAB"/>
    <w:rsid w:val="009621B5"/>
    <w:rsid w:val="009711DC"/>
    <w:rsid w:val="0097127B"/>
    <w:rsid w:val="009719FA"/>
    <w:rsid w:val="0097278E"/>
    <w:rsid w:val="00972B41"/>
    <w:rsid w:val="009818CE"/>
    <w:rsid w:val="0098228E"/>
    <w:rsid w:val="00982AE8"/>
    <w:rsid w:val="00990E54"/>
    <w:rsid w:val="009923FD"/>
    <w:rsid w:val="00992D80"/>
    <w:rsid w:val="00992F06"/>
    <w:rsid w:val="0099518B"/>
    <w:rsid w:val="00996A6F"/>
    <w:rsid w:val="009979DB"/>
    <w:rsid w:val="009A65B7"/>
    <w:rsid w:val="009A72AC"/>
    <w:rsid w:val="009B0568"/>
    <w:rsid w:val="009B166F"/>
    <w:rsid w:val="009B26F1"/>
    <w:rsid w:val="009B598F"/>
    <w:rsid w:val="009B5F10"/>
    <w:rsid w:val="009B64D4"/>
    <w:rsid w:val="009B6EAC"/>
    <w:rsid w:val="009B7C85"/>
    <w:rsid w:val="009C0ADC"/>
    <w:rsid w:val="009C28E3"/>
    <w:rsid w:val="009C69B3"/>
    <w:rsid w:val="009D02BC"/>
    <w:rsid w:val="009D517F"/>
    <w:rsid w:val="009D575C"/>
    <w:rsid w:val="009D600F"/>
    <w:rsid w:val="009E057D"/>
    <w:rsid w:val="009E0696"/>
    <w:rsid w:val="009E1207"/>
    <w:rsid w:val="009E3A6F"/>
    <w:rsid w:val="009E6CAF"/>
    <w:rsid w:val="009F2011"/>
    <w:rsid w:val="009F2B12"/>
    <w:rsid w:val="009F39A9"/>
    <w:rsid w:val="009F404F"/>
    <w:rsid w:val="009F4170"/>
    <w:rsid w:val="009F4A0E"/>
    <w:rsid w:val="009F5898"/>
    <w:rsid w:val="009F753C"/>
    <w:rsid w:val="009F7A99"/>
    <w:rsid w:val="00A0089E"/>
    <w:rsid w:val="00A016ED"/>
    <w:rsid w:val="00A03833"/>
    <w:rsid w:val="00A05A1E"/>
    <w:rsid w:val="00A05AAF"/>
    <w:rsid w:val="00A07440"/>
    <w:rsid w:val="00A10318"/>
    <w:rsid w:val="00A1085C"/>
    <w:rsid w:val="00A11E58"/>
    <w:rsid w:val="00A14412"/>
    <w:rsid w:val="00A169BA"/>
    <w:rsid w:val="00A20521"/>
    <w:rsid w:val="00A21167"/>
    <w:rsid w:val="00A246FF"/>
    <w:rsid w:val="00A24ABF"/>
    <w:rsid w:val="00A25737"/>
    <w:rsid w:val="00A259D9"/>
    <w:rsid w:val="00A25DBC"/>
    <w:rsid w:val="00A300A1"/>
    <w:rsid w:val="00A301CA"/>
    <w:rsid w:val="00A3148A"/>
    <w:rsid w:val="00A343A6"/>
    <w:rsid w:val="00A3626C"/>
    <w:rsid w:val="00A37DED"/>
    <w:rsid w:val="00A411A6"/>
    <w:rsid w:val="00A411E0"/>
    <w:rsid w:val="00A44748"/>
    <w:rsid w:val="00A528B5"/>
    <w:rsid w:val="00A529C2"/>
    <w:rsid w:val="00A546CD"/>
    <w:rsid w:val="00A57FCB"/>
    <w:rsid w:val="00A6104B"/>
    <w:rsid w:val="00A6143E"/>
    <w:rsid w:val="00A6383A"/>
    <w:rsid w:val="00A642BE"/>
    <w:rsid w:val="00A714E6"/>
    <w:rsid w:val="00A76C8A"/>
    <w:rsid w:val="00A8052B"/>
    <w:rsid w:val="00A816CF"/>
    <w:rsid w:val="00A817F0"/>
    <w:rsid w:val="00A8217F"/>
    <w:rsid w:val="00A831B7"/>
    <w:rsid w:val="00A83E08"/>
    <w:rsid w:val="00A83EEE"/>
    <w:rsid w:val="00A8479A"/>
    <w:rsid w:val="00A8562C"/>
    <w:rsid w:val="00A86202"/>
    <w:rsid w:val="00A9059C"/>
    <w:rsid w:val="00A9314A"/>
    <w:rsid w:val="00AA0858"/>
    <w:rsid w:val="00AA0CD6"/>
    <w:rsid w:val="00AA26C5"/>
    <w:rsid w:val="00AA54F2"/>
    <w:rsid w:val="00AA573F"/>
    <w:rsid w:val="00AA5F95"/>
    <w:rsid w:val="00AB0803"/>
    <w:rsid w:val="00AB1EA8"/>
    <w:rsid w:val="00AB67D8"/>
    <w:rsid w:val="00AB6B31"/>
    <w:rsid w:val="00AB75FA"/>
    <w:rsid w:val="00AC014E"/>
    <w:rsid w:val="00AC2C2F"/>
    <w:rsid w:val="00AC364C"/>
    <w:rsid w:val="00AC5576"/>
    <w:rsid w:val="00AC703F"/>
    <w:rsid w:val="00AD0242"/>
    <w:rsid w:val="00AD025A"/>
    <w:rsid w:val="00AD2920"/>
    <w:rsid w:val="00AD4D04"/>
    <w:rsid w:val="00AD5B7E"/>
    <w:rsid w:val="00AD6216"/>
    <w:rsid w:val="00AD68A0"/>
    <w:rsid w:val="00AE1FEB"/>
    <w:rsid w:val="00AE4764"/>
    <w:rsid w:val="00AE6C21"/>
    <w:rsid w:val="00AE6F12"/>
    <w:rsid w:val="00AF1E59"/>
    <w:rsid w:val="00AF3729"/>
    <w:rsid w:val="00B00F5C"/>
    <w:rsid w:val="00B01221"/>
    <w:rsid w:val="00B01A78"/>
    <w:rsid w:val="00B03D6D"/>
    <w:rsid w:val="00B0423D"/>
    <w:rsid w:val="00B048BF"/>
    <w:rsid w:val="00B0706A"/>
    <w:rsid w:val="00B10EAA"/>
    <w:rsid w:val="00B126F2"/>
    <w:rsid w:val="00B14D14"/>
    <w:rsid w:val="00B159FF"/>
    <w:rsid w:val="00B16EC9"/>
    <w:rsid w:val="00B20937"/>
    <w:rsid w:val="00B22111"/>
    <w:rsid w:val="00B23F41"/>
    <w:rsid w:val="00B242A7"/>
    <w:rsid w:val="00B25093"/>
    <w:rsid w:val="00B26263"/>
    <w:rsid w:val="00B2643C"/>
    <w:rsid w:val="00B26459"/>
    <w:rsid w:val="00B32CBA"/>
    <w:rsid w:val="00B33B83"/>
    <w:rsid w:val="00B345C8"/>
    <w:rsid w:val="00B35615"/>
    <w:rsid w:val="00B35C08"/>
    <w:rsid w:val="00B37F65"/>
    <w:rsid w:val="00B40171"/>
    <w:rsid w:val="00B411A2"/>
    <w:rsid w:val="00B42001"/>
    <w:rsid w:val="00B438F2"/>
    <w:rsid w:val="00B4491F"/>
    <w:rsid w:val="00B45AE4"/>
    <w:rsid w:val="00B45FD1"/>
    <w:rsid w:val="00B46145"/>
    <w:rsid w:val="00B4627F"/>
    <w:rsid w:val="00B4761D"/>
    <w:rsid w:val="00B5351E"/>
    <w:rsid w:val="00B566E2"/>
    <w:rsid w:val="00B57072"/>
    <w:rsid w:val="00B605AE"/>
    <w:rsid w:val="00B611F4"/>
    <w:rsid w:val="00B629C2"/>
    <w:rsid w:val="00B63BD8"/>
    <w:rsid w:val="00B6464E"/>
    <w:rsid w:val="00B6536D"/>
    <w:rsid w:val="00B661E8"/>
    <w:rsid w:val="00B67923"/>
    <w:rsid w:val="00B70E69"/>
    <w:rsid w:val="00B728A9"/>
    <w:rsid w:val="00B728DA"/>
    <w:rsid w:val="00B72FF9"/>
    <w:rsid w:val="00B7355B"/>
    <w:rsid w:val="00B75334"/>
    <w:rsid w:val="00B759F2"/>
    <w:rsid w:val="00B77027"/>
    <w:rsid w:val="00B77A0D"/>
    <w:rsid w:val="00B8137E"/>
    <w:rsid w:val="00B8211B"/>
    <w:rsid w:val="00B851F1"/>
    <w:rsid w:val="00B8715E"/>
    <w:rsid w:val="00B87406"/>
    <w:rsid w:val="00B87858"/>
    <w:rsid w:val="00B92A2F"/>
    <w:rsid w:val="00B93BFA"/>
    <w:rsid w:val="00B9465C"/>
    <w:rsid w:val="00B95461"/>
    <w:rsid w:val="00BA2AD0"/>
    <w:rsid w:val="00BA3AFA"/>
    <w:rsid w:val="00BB031F"/>
    <w:rsid w:val="00BB1774"/>
    <w:rsid w:val="00BB191B"/>
    <w:rsid w:val="00BB2B06"/>
    <w:rsid w:val="00BB5910"/>
    <w:rsid w:val="00BB7F96"/>
    <w:rsid w:val="00BC006F"/>
    <w:rsid w:val="00BC0BE6"/>
    <w:rsid w:val="00BC11CD"/>
    <w:rsid w:val="00BC568C"/>
    <w:rsid w:val="00BD03ED"/>
    <w:rsid w:val="00BD077D"/>
    <w:rsid w:val="00BD1A0F"/>
    <w:rsid w:val="00BD31E8"/>
    <w:rsid w:val="00BD3782"/>
    <w:rsid w:val="00BD528D"/>
    <w:rsid w:val="00BD57CA"/>
    <w:rsid w:val="00BD5FDA"/>
    <w:rsid w:val="00BD689E"/>
    <w:rsid w:val="00BE3C63"/>
    <w:rsid w:val="00BE6407"/>
    <w:rsid w:val="00BE6AEA"/>
    <w:rsid w:val="00BE7C89"/>
    <w:rsid w:val="00BF0127"/>
    <w:rsid w:val="00BF05FF"/>
    <w:rsid w:val="00BF3570"/>
    <w:rsid w:val="00BF499F"/>
    <w:rsid w:val="00BF687F"/>
    <w:rsid w:val="00BF77B7"/>
    <w:rsid w:val="00C01BA5"/>
    <w:rsid w:val="00C025AE"/>
    <w:rsid w:val="00C02FF3"/>
    <w:rsid w:val="00C032B8"/>
    <w:rsid w:val="00C05028"/>
    <w:rsid w:val="00C0584D"/>
    <w:rsid w:val="00C059C4"/>
    <w:rsid w:val="00C170E1"/>
    <w:rsid w:val="00C21F91"/>
    <w:rsid w:val="00C2244F"/>
    <w:rsid w:val="00C227C1"/>
    <w:rsid w:val="00C2469A"/>
    <w:rsid w:val="00C25115"/>
    <w:rsid w:val="00C25181"/>
    <w:rsid w:val="00C27255"/>
    <w:rsid w:val="00C32189"/>
    <w:rsid w:val="00C33795"/>
    <w:rsid w:val="00C34DC2"/>
    <w:rsid w:val="00C36F6A"/>
    <w:rsid w:val="00C47216"/>
    <w:rsid w:val="00C60D04"/>
    <w:rsid w:val="00C61F16"/>
    <w:rsid w:val="00C63614"/>
    <w:rsid w:val="00C63703"/>
    <w:rsid w:val="00C66F21"/>
    <w:rsid w:val="00C70BEC"/>
    <w:rsid w:val="00C729F9"/>
    <w:rsid w:val="00C732EA"/>
    <w:rsid w:val="00C73D26"/>
    <w:rsid w:val="00C77B62"/>
    <w:rsid w:val="00C872F3"/>
    <w:rsid w:val="00C901E6"/>
    <w:rsid w:val="00C9124A"/>
    <w:rsid w:val="00C920D3"/>
    <w:rsid w:val="00C94087"/>
    <w:rsid w:val="00C949F2"/>
    <w:rsid w:val="00C9704C"/>
    <w:rsid w:val="00CA2A8B"/>
    <w:rsid w:val="00CA3B67"/>
    <w:rsid w:val="00CB012D"/>
    <w:rsid w:val="00CB1B4C"/>
    <w:rsid w:val="00CB22E2"/>
    <w:rsid w:val="00CB54A2"/>
    <w:rsid w:val="00CB5D6B"/>
    <w:rsid w:val="00CB63A7"/>
    <w:rsid w:val="00CC20C4"/>
    <w:rsid w:val="00CC446F"/>
    <w:rsid w:val="00CC5CEC"/>
    <w:rsid w:val="00CD0595"/>
    <w:rsid w:val="00CD278A"/>
    <w:rsid w:val="00CD71B8"/>
    <w:rsid w:val="00CE0ADC"/>
    <w:rsid w:val="00CE11DA"/>
    <w:rsid w:val="00CE34A7"/>
    <w:rsid w:val="00CE5065"/>
    <w:rsid w:val="00CE5C52"/>
    <w:rsid w:val="00CE6AEE"/>
    <w:rsid w:val="00CE6E9C"/>
    <w:rsid w:val="00CE767A"/>
    <w:rsid w:val="00CF4CFD"/>
    <w:rsid w:val="00CF62A8"/>
    <w:rsid w:val="00CF7244"/>
    <w:rsid w:val="00CF7BE0"/>
    <w:rsid w:val="00D0316C"/>
    <w:rsid w:val="00D035F9"/>
    <w:rsid w:val="00D03DB3"/>
    <w:rsid w:val="00D053B8"/>
    <w:rsid w:val="00D06A3E"/>
    <w:rsid w:val="00D13B56"/>
    <w:rsid w:val="00D1565A"/>
    <w:rsid w:val="00D15D55"/>
    <w:rsid w:val="00D162A2"/>
    <w:rsid w:val="00D200EB"/>
    <w:rsid w:val="00D202DB"/>
    <w:rsid w:val="00D20637"/>
    <w:rsid w:val="00D21FF9"/>
    <w:rsid w:val="00D226C4"/>
    <w:rsid w:val="00D23D1F"/>
    <w:rsid w:val="00D265F4"/>
    <w:rsid w:val="00D30EEE"/>
    <w:rsid w:val="00D32861"/>
    <w:rsid w:val="00D33D9D"/>
    <w:rsid w:val="00D33DFA"/>
    <w:rsid w:val="00D34046"/>
    <w:rsid w:val="00D350BB"/>
    <w:rsid w:val="00D3552B"/>
    <w:rsid w:val="00D359A3"/>
    <w:rsid w:val="00D35BD1"/>
    <w:rsid w:val="00D37C84"/>
    <w:rsid w:val="00D4052F"/>
    <w:rsid w:val="00D40F4E"/>
    <w:rsid w:val="00D41DA1"/>
    <w:rsid w:val="00D41EA5"/>
    <w:rsid w:val="00D526CA"/>
    <w:rsid w:val="00D55740"/>
    <w:rsid w:val="00D559BB"/>
    <w:rsid w:val="00D56F34"/>
    <w:rsid w:val="00D62416"/>
    <w:rsid w:val="00D64BAB"/>
    <w:rsid w:val="00D66B60"/>
    <w:rsid w:val="00D67943"/>
    <w:rsid w:val="00D70287"/>
    <w:rsid w:val="00D70724"/>
    <w:rsid w:val="00D71509"/>
    <w:rsid w:val="00D71BDC"/>
    <w:rsid w:val="00D72623"/>
    <w:rsid w:val="00D739BF"/>
    <w:rsid w:val="00D73A56"/>
    <w:rsid w:val="00D748E3"/>
    <w:rsid w:val="00D7496B"/>
    <w:rsid w:val="00D74A7F"/>
    <w:rsid w:val="00D7660C"/>
    <w:rsid w:val="00D767A2"/>
    <w:rsid w:val="00D77075"/>
    <w:rsid w:val="00D77953"/>
    <w:rsid w:val="00D77D10"/>
    <w:rsid w:val="00D80514"/>
    <w:rsid w:val="00D80F88"/>
    <w:rsid w:val="00D81A28"/>
    <w:rsid w:val="00D81D4B"/>
    <w:rsid w:val="00D822D9"/>
    <w:rsid w:val="00D85459"/>
    <w:rsid w:val="00D91D3F"/>
    <w:rsid w:val="00D934D7"/>
    <w:rsid w:val="00D9713F"/>
    <w:rsid w:val="00DA1BE0"/>
    <w:rsid w:val="00DA33A9"/>
    <w:rsid w:val="00DA3CE3"/>
    <w:rsid w:val="00DA49BD"/>
    <w:rsid w:val="00DA6B4F"/>
    <w:rsid w:val="00DA7978"/>
    <w:rsid w:val="00DB046F"/>
    <w:rsid w:val="00DB07E0"/>
    <w:rsid w:val="00DB12C5"/>
    <w:rsid w:val="00DB184D"/>
    <w:rsid w:val="00DB1E71"/>
    <w:rsid w:val="00DB2FAE"/>
    <w:rsid w:val="00DB4FD3"/>
    <w:rsid w:val="00DB5653"/>
    <w:rsid w:val="00DB56B8"/>
    <w:rsid w:val="00DC0356"/>
    <w:rsid w:val="00DC1063"/>
    <w:rsid w:val="00DC1946"/>
    <w:rsid w:val="00DC1988"/>
    <w:rsid w:val="00DC20FE"/>
    <w:rsid w:val="00DC4DA9"/>
    <w:rsid w:val="00DC531C"/>
    <w:rsid w:val="00DC7F34"/>
    <w:rsid w:val="00DD1650"/>
    <w:rsid w:val="00DD184E"/>
    <w:rsid w:val="00DD189F"/>
    <w:rsid w:val="00DE042D"/>
    <w:rsid w:val="00DE2DDC"/>
    <w:rsid w:val="00DE5A4B"/>
    <w:rsid w:val="00DE5FFC"/>
    <w:rsid w:val="00DE6014"/>
    <w:rsid w:val="00DF24E9"/>
    <w:rsid w:val="00DF3630"/>
    <w:rsid w:val="00DF4815"/>
    <w:rsid w:val="00DF4837"/>
    <w:rsid w:val="00DF4E9A"/>
    <w:rsid w:val="00DF5D24"/>
    <w:rsid w:val="00DF637B"/>
    <w:rsid w:val="00E00923"/>
    <w:rsid w:val="00E0333E"/>
    <w:rsid w:val="00E03DEB"/>
    <w:rsid w:val="00E04C66"/>
    <w:rsid w:val="00E0657C"/>
    <w:rsid w:val="00E07331"/>
    <w:rsid w:val="00E07D4D"/>
    <w:rsid w:val="00E113BC"/>
    <w:rsid w:val="00E12F6C"/>
    <w:rsid w:val="00E133C9"/>
    <w:rsid w:val="00E15227"/>
    <w:rsid w:val="00E156F6"/>
    <w:rsid w:val="00E177F3"/>
    <w:rsid w:val="00E17976"/>
    <w:rsid w:val="00E17CA9"/>
    <w:rsid w:val="00E2120C"/>
    <w:rsid w:val="00E2195A"/>
    <w:rsid w:val="00E21FB2"/>
    <w:rsid w:val="00E229AA"/>
    <w:rsid w:val="00E23324"/>
    <w:rsid w:val="00E24203"/>
    <w:rsid w:val="00E24F1F"/>
    <w:rsid w:val="00E26C00"/>
    <w:rsid w:val="00E3029B"/>
    <w:rsid w:val="00E35853"/>
    <w:rsid w:val="00E42235"/>
    <w:rsid w:val="00E42D8A"/>
    <w:rsid w:val="00E45B7A"/>
    <w:rsid w:val="00E4638B"/>
    <w:rsid w:val="00E47BFF"/>
    <w:rsid w:val="00E520B9"/>
    <w:rsid w:val="00E53526"/>
    <w:rsid w:val="00E54269"/>
    <w:rsid w:val="00E572C1"/>
    <w:rsid w:val="00E6083D"/>
    <w:rsid w:val="00E640D8"/>
    <w:rsid w:val="00E6440A"/>
    <w:rsid w:val="00E65DA8"/>
    <w:rsid w:val="00E66BAD"/>
    <w:rsid w:val="00E67ED8"/>
    <w:rsid w:val="00E731F1"/>
    <w:rsid w:val="00E73FD4"/>
    <w:rsid w:val="00E74039"/>
    <w:rsid w:val="00E744AD"/>
    <w:rsid w:val="00E80B1E"/>
    <w:rsid w:val="00E85537"/>
    <w:rsid w:val="00E91AC0"/>
    <w:rsid w:val="00E94847"/>
    <w:rsid w:val="00E9573C"/>
    <w:rsid w:val="00E95F51"/>
    <w:rsid w:val="00E95FB1"/>
    <w:rsid w:val="00E96147"/>
    <w:rsid w:val="00E9784B"/>
    <w:rsid w:val="00EA1A68"/>
    <w:rsid w:val="00EA3A10"/>
    <w:rsid w:val="00EA3F5A"/>
    <w:rsid w:val="00EA58F1"/>
    <w:rsid w:val="00EA7265"/>
    <w:rsid w:val="00EB51AB"/>
    <w:rsid w:val="00EB5CAD"/>
    <w:rsid w:val="00EB5FAF"/>
    <w:rsid w:val="00EB7673"/>
    <w:rsid w:val="00EB7B91"/>
    <w:rsid w:val="00EC06F8"/>
    <w:rsid w:val="00EC1790"/>
    <w:rsid w:val="00EC3A4D"/>
    <w:rsid w:val="00EC4B74"/>
    <w:rsid w:val="00EC5DB6"/>
    <w:rsid w:val="00EC6932"/>
    <w:rsid w:val="00EC74E0"/>
    <w:rsid w:val="00EC7CCE"/>
    <w:rsid w:val="00ED1387"/>
    <w:rsid w:val="00ED2E68"/>
    <w:rsid w:val="00ED349C"/>
    <w:rsid w:val="00ED4848"/>
    <w:rsid w:val="00EE01D8"/>
    <w:rsid w:val="00EE1AD1"/>
    <w:rsid w:val="00EE1BE8"/>
    <w:rsid w:val="00EE278E"/>
    <w:rsid w:val="00EE2B56"/>
    <w:rsid w:val="00EE319C"/>
    <w:rsid w:val="00EE3CBF"/>
    <w:rsid w:val="00EE5120"/>
    <w:rsid w:val="00EE7350"/>
    <w:rsid w:val="00EF028C"/>
    <w:rsid w:val="00EF151E"/>
    <w:rsid w:val="00EF29D9"/>
    <w:rsid w:val="00EF76C6"/>
    <w:rsid w:val="00F00B4C"/>
    <w:rsid w:val="00F0105D"/>
    <w:rsid w:val="00F05458"/>
    <w:rsid w:val="00F056A2"/>
    <w:rsid w:val="00F057FF"/>
    <w:rsid w:val="00F05A0B"/>
    <w:rsid w:val="00F05D5B"/>
    <w:rsid w:val="00F05DFA"/>
    <w:rsid w:val="00F115D3"/>
    <w:rsid w:val="00F12F8F"/>
    <w:rsid w:val="00F146B5"/>
    <w:rsid w:val="00F14D53"/>
    <w:rsid w:val="00F15D3D"/>
    <w:rsid w:val="00F17D49"/>
    <w:rsid w:val="00F21046"/>
    <w:rsid w:val="00F22A14"/>
    <w:rsid w:val="00F24B74"/>
    <w:rsid w:val="00F24D2F"/>
    <w:rsid w:val="00F254EE"/>
    <w:rsid w:val="00F26137"/>
    <w:rsid w:val="00F266E5"/>
    <w:rsid w:val="00F2687F"/>
    <w:rsid w:val="00F31F19"/>
    <w:rsid w:val="00F351B2"/>
    <w:rsid w:val="00F35B20"/>
    <w:rsid w:val="00F45150"/>
    <w:rsid w:val="00F50297"/>
    <w:rsid w:val="00F51A89"/>
    <w:rsid w:val="00F51AC8"/>
    <w:rsid w:val="00F5212D"/>
    <w:rsid w:val="00F52620"/>
    <w:rsid w:val="00F53E0E"/>
    <w:rsid w:val="00F552AE"/>
    <w:rsid w:val="00F55D80"/>
    <w:rsid w:val="00F6347D"/>
    <w:rsid w:val="00F63A7A"/>
    <w:rsid w:val="00F66B24"/>
    <w:rsid w:val="00F6758E"/>
    <w:rsid w:val="00F73CBF"/>
    <w:rsid w:val="00F748FE"/>
    <w:rsid w:val="00F765BD"/>
    <w:rsid w:val="00F776BD"/>
    <w:rsid w:val="00F8056D"/>
    <w:rsid w:val="00F808C9"/>
    <w:rsid w:val="00F81559"/>
    <w:rsid w:val="00F82139"/>
    <w:rsid w:val="00F83429"/>
    <w:rsid w:val="00F84491"/>
    <w:rsid w:val="00F84B7C"/>
    <w:rsid w:val="00F85F22"/>
    <w:rsid w:val="00F87FFB"/>
    <w:rsid w:val="00F90725"/>
    <w:rsid w:val="00F90730"/>
    <w:rsid w:val="00F95677"/>
    <w:rsid w:val="00F95EBC"/>
    <w:rsid w:val="00F968A8"/>
    <w:rsid w:val="00FA3334"/>
    <w:rsid w:val="00FA52D8"/>
    <w:rsid w:val="00FA73F1"/>
    <w:rsid w:val="00FB1D54"/>
    <w:rsid w:val="00FB2B5A"/>
    <w:rsid w:val="00FB2E10"/>
    <w:rsid w:val="00FB32F0"/>
    <w:rsid w:val="00FB4178"/>
    <w:rsid w:val="00FB5A57"/>
    <w:rsid w:val="00FB634B"/>
    <w:rsid w:val="00FB68FA"/>
    <w:rsid w:val="00FB7C98"/>
    <w:rsid w:val="00FC2D5D"/>
    <w:rsid w:val="00FC377F"/>
    <w:rsid w:val="00FC3CCA"/>
    <w:rsid w:val="00FC4784"/>
    <w:rsid w:val="00FC613F"/>
    <w:rsid w:val="00FD0D31"/>
    <w:rsid w:val="00FD2EEB"/>
    <w:rsid w:val="00FD47F4"/>
    <w:rsid w:val="00FD6201"/>
    <w:rsid w:val="00FE1419"/>
    <w:rsid w:val="00FE158F"/>
    <w:rsid w:val="00FE2632"/>
    <w:rsid w:val="00FE5F14"/>
    <w:rsid w:val="00FE65F4"/>
    <w:rsid w:val="00FF44E3"/>
    <w:rsid w:val="00FF4D10"/>
    <w:rsid w:val="00FF55BC"/>
    <w:rsid w:val="00FF7650"/>
    <w:rsid w:val="0FC6F0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3F041"/>
  <w15:chartTrackingRefBased/>
  <w15:docId w15:val="{0BB2352F-6BC9-4600-A805-1FF628F0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7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82A"/>
    <w:rPr>
      <w:sz w:val="20"/>
      <w:szCs w:val="20"/>
    </w:rPr>
  </w:style>
  <w:style w:type="character" w:styleId="FootnoteReference">
    <w:name w:val="footnote reference"/>
    <w:basedOn w:val="DefaultParagraphFont"/>
    <w:uiPriority w:val="99"/>
    <w:semiHidden/>
    <w:unhideWhenUsed/>
    <w:rsid w:val="0027782A"/>
    <w:rPr>
      <w:vertAlign w:val="superscript"/>
    </w:rPr>
  </w:style>
  <w:style w:type="character" w:styleId="Hyperlink">
    <w:name w:val="Hyperlink"/>
    <w:basedOn w:val="DefaultParagraphFont"/>
    <w:uiPriority w:val="99"/>
    <w:unhideWhenUsed/>
    <w:rsid w:val="00F51AC8"/>
    <w:rPr>
      <w:color w:val="0563C1" w:themeColor="hyperlink"/>
      <w:u w:val="single"/>
    </w:rPr>
  </w:style>
  <w:style w:type="character" w:styleId="FollowedHyperlink">
    <w:name w:val="FollowedHyperlink"/>
    <w:basedOn w:val="DefaultParagraphFont"/>
    <w:uiPriority w:val="99"/>
    <w:semiHidden/>
    <w:unhideWhenUsed/>
    <w:rsid w:val="00726171"/>
    <w:rPr>
      <w:color w:val="954F72" w:themeColor="followedHyperlink"/>
      <w:u w:val="single"/>
    </w:rPr>
  </w:style>
  <w:style w:type="paragraph" w:styleId="ListParagraph">
    <w:name w:val="List Paragraph"/>
    <w:basedOn w:val="Normal"/>
    <w:uiPriority w:val="34"/>
    <w:qFormat/>
    <w:rsid w:val="00BC11CD"/>
    <w:pPr>
      <w:ind w:left="720"/>
      <w:contextualSpacing/>
    </w:pPr>
  </w:style>
  <w:style w:type="table" w:styleId="TableGrid">
    <w:name w:val="Table Grid"/>
    <w:basedOn w:val="TableNormal"/>
    <w:uiPriority w:val="39"/>
    <w:rsid w:val="00FB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B2E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EE3CB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5B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6554"/>
    <w:rPr>
      <w:color w:val="808080"/>
    </w:rPr>
  </w:style>
  <w:style w:type="paragraph" w:styleId="BalloonText">
    <w:name w:val="Balloon Text"/>
    <w:basedOn w:val="Normal"/>
    <w:link w:val="BalloonTextChar"/>
    <w:uiPriority w:val="99"/>
    <w:semiHidden/>
    <w:unhideWhenUsed/>
    <w:rsid w:val="00DC4D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4DA9"/>
    <w:rPr>
      <w:rFonts w:ascii="Times New Roman" w:hAnsi="Times New Roman" w:cs="Times New Roman"/>
      <w:sz w:val="18"/>
      <w:szCs w:val="18"/>
    </w:rPr>
  </w:style>
  <w:style w:type="paragraph" w:styleId="Revision">
    <w:name w:val="Revision"/>
    <w:hidden/>
    <w:uiPriority w:val="99"/>
    <w:semiHidden/>
    <w:rsid w:val="00DC4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9788">
      <w:bodyDiv w:val="1"/>
      <w:marLeft w:val="0"/>
      <w:marRight w:val="0"/>
      <w:marTop w:val="0"/>
      <w:marBottom w:val="0"/>
      <w:divBdr>
        <w:top w:val="none" w:sz="0" w:space="0" w:color="auto"/>
        <w:left w:val="none" w:sz="0" w:space="0" w:color="auto"/>
        <w:bottom w:val="none" w:sz="0" w:space="0" w:color="auto"/>
        <w:right w:val="none" w:sz="0" w:space="0" w:color="auto"/>
      </w:divBdr>
    </w:div>
    <w:div w:id="1965378500">
      <w:bodyDiv w:val="1"/>
      <w:marLeft w:val="0"/>
      <w:marRight w:val="0"/>
      <w:marTop w:val="0"/>
      <w:marBottom w:val="0"/>
      <w:divBdr>
        <w:top w:val="none" w:sz="0" w:space="0" w:color="auto"/>
        <w:left w:val="none" w:sz="0" w:space="0" w:color="auto"/>
        <w:bottom w:val="none" w:sz="0" w:space="0" w:color="auto"/>
        <w:right w:val="none" w:sz="0" w:space="0" w:color="auto"/>
      </w:divBdr>
      <w:divsChild>
        <w:div w:id="106445206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systemvaluation.org/contingent_valuation.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ecosystemvalu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3418-1E4B-49EF-A743-163B531A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9476</Words>
  <Characters>54015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Stathis Klonaris</cp:lastModifiedBy>
  <cp:revision>2</cp:revision>
  <dcterms:created xsi:type="dcterms:W3CDTF">2018-07-16T09:23:00Z</dcterms:created>
  <dcterms:modified xsi:type="dcterms:W3CDTF">2018-07-16T09:23:00Z</dcterms:modified>
</cp:coreProperties>
</file>